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2FE7" w14:textId="77777777" w:rsidR="00EF56FD" w:rsidRPr="00EA76EA" w:rsidRDefault="00EF56FD"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295443" w14:paraId="0BB96C10" w14:textId="77777777" w:rsidTr="00B25523">
        <w:trPr>
          <w:trHeight w:val="8976"/>
        </w:trPr>
        <w:tc>
          <w:tcPr>
            <w:tcW w:w="3178" w:type="dxa"/>
          </w:tcPr>
          <w:p w14:paraId="4EDDA2A9" w14:textId="77777777" w:rsidR="00EF56FD" w:rsidRPr="00EA76EA" w:rsidRDefault="00EF56FD"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30CCED2F" wp14:editId="40B3F6F2">
                  <wp:simplePos x="0" y="0"/>
                  <wp:positionH relativeFrom="page">
                    <wp:align>center</wp:align>
                  </wp:positionH>
                  <wp:positionV relativeFrom="paragraph">
                    <wp:posOffset>0</wp:posOffset>
                  </wp:positionV>
                  <wp:extent cx="1428949" cy="800212"/>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800212"/>
                          </a:xfrm>
                          <a:prstGeom prst="rect">
                            <a:avLst/>
                          </a:prstGeom>
                        </pic:spPr>
                      </pic:pic>
                    </a:graphicData>
                  </a:graphic>
                </wp:anchor>
              </w:drawing>
            </w:r>
          </w:p>
        </w:tc>
        <w:tc>
          <w:tcPr>
            <w:tcW w:w="6229" w:type="dxa"/>
          </w:tcPr>
          <w:p w14:paraId="27B5FD0C" w14:textId="77777777" w:rsidR="00EF56FD" w:rsidRPr="00EA76EA" w:rsidRDefault="00EF56FD"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531577B5" wp14:editId="799E33C4">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95443" w14:paraId="12643AAB" w14:textId="77777777" w:rsidTr="0051066D">
                                    <w:trPr>
                                      <w:trHeight w:val="1837"/>
                                    </w:trPr>
                                    <w:tc>
                                      <w:tcPr>
                                        <w:tcW w:w="10632" w:type="dxa"/>
                                        <w:vAlign w:val="center"/>
                                      </w:tcPr>
                                      <w:p w14:paraId="174E3ED7" w14:textId="77777777" w:rsidR="00EF56FD" w:rsidRPr="003E0246" w:rsidRDefault="00EF56FD"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2FCD7BFF" w14:textId="77777777" w:rsidR="00EF56FD" w:rsidRDefault="00EF56FD"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91AC0D2" w14:textId="77777777" w:rsidR="00EF56FD" w:rsidRDefault="00EF56FD"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295443" w14:paraId="5E35ECA2" w14:textId="77777777" w:rsidTr="0051066D">
                                    <w:trPr>
                                      <w:trHeight w:val="20"/>
                                    </w:trPr>
                                    <w:tc>
                                      <w:tcPr>
                                        <w:tcW w:w="10632" w:type="dxa"/>
                                      </w:tcPr>
                                      <w:p w14:paraId="2A2B67B2" w14:textId="77777777" w:rsidR="00EF56FD" w:rsidRPr="00642089" w:rsidRDefault="00EF56FD" w:rsidP="000D139C">
                                        <w:pPr>
                                          <w:spacing w:before="240" w:after="0" w:line="240" w:lineRule="auto"/>
                                        </w:pPr>
                                        <w:r w:rsidRPr="00642089">
                                          <w:t xml:space="preserve">Attested on 16 April 2024 at 12:21 PM by Allan Waterson </w:t>
                                        </w:r>
                                        <w:r w:rsidRPr="00642089">
                                          <w:t>(Principal)</w:t>
                                        </w:r>
                                      </w:p>
                                    </w:tc>
                                  </w:tr>
                                </w:tbl>
                                <w:p w14:paraId="55C3DBF1" w14:textId="77777777" w:rsidR="00EF56FD" w:rsidRDefault="00EF56FD"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95443" w14:paraId="14DA5DF1" w14:textId="77777777" w:rsidTr="000D139C">
                                    <w:trPr>
                                      <w:trHeight w:val="522"/>
                                    </w:trPr>
                                    <w:tc>
                                      <w:tcPr>
                                        <w:tcW w:w="10632" w:type="dxa"/>
                                        <w:vAlign w:val="center"/>
                                      </w:tcPr>
                                      <w:p w14:paraId="55D98544" w14:textId="77777777" w:rsidR="00EF56FD" w:rsidRDefault="00EF56FD"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295443" w14:paraId="375E4883" w14:textId="77777777" w:rsidTr="000D139C">
                                    <w:trPr>
                                      <w:trHeight w:val="113"/>
                                    </w:trPr>
                                    <w:tc>
                                      <w:tcPr>
                                        <w:tcW w:w="10632" w:type="dxa"/>
                                      </w:tcPr>
                                      <w:p w14:paraId="1852B108" w14:textId="77777777" w:rsidR="00EF56FD" w:rsidRPr="00642089" w:rsidRDefault="00EF56FD" w:rsidP="000D139C">
                                        <w:pPr>
                                          <w:spacing w:before="240" w:after="0" w:line="240" w:lineRule="auto"/>
                                        </w:pPr>
                                        <w:r w:rsidRPr="00642089">
                                          <w:t xml:space="preserve">Attested on 01 May 2024 at 09:07 AM by Mrs Perugini (School Council </w:t>
                                        </w:r>
                                        <w:r w:rsidRPr="00642089">
                                          <w:t>President)</w:t>
                                        </w:r>
                                      </w:p>
                                    </w:tc>
                                  </w:tr>
                                </w:tbl>
                                <w:p w14:paraId="3710A3CE" w14:textId="77777777" w:rsidR="00EF56FD" w:rsidRDefault="00EF56FD" w:rsidP="00177D7F"/>
                              </w:txbxContent>
                            </wps:txbx>
                            <wps:bodyPr rot="0" vert="horz" wrap="square" anchor="t" anchorCtr="0" upright="1"/>
                          </wps:wsp>
                        </a:graphicData>
                      </a:graphic>
                    </wp:anchor>
                  </w:drawing>
                </mc:Choice>
                <mc:Fallback>
                  <w:pict>
                    <v:shapetype w14:anchorId="531577B5"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95443" w14:paraId="12643AAB" w14:textId="77777777" w:rsidTr="0051066D">
                              <w:trPr>
                                <w:trHeight w:val="1837"/>
                              </w:trPr>
                              <w:tc>
                                <w:tcPr>
                                  <w:tcW w:w="10632" w:type="dxa"/>
                                  <w:vAlign w:val="center"/>
                                </w:tcPr>
                                <w:p w14:paraId="174E3ED7" w14:textId="77777777" w:rsidR="00EF56FD" w:rsidRPr="003E0246" w:rsidRDefault="00EF56FD"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2FCD7BFF" w14:textId="77777777" w:rsidR="00EF56FD" w:rsidRDefault="00EF56FD"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91AC0D2" w14:textId="77777777" w:rsidR="00EF56FD" w:rsidRDefault="00EF56FD"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295443" w14:paraId="5E35ECA2" w14:textId="77777777" w:rsidTr="0051066D">
                              <w:trPr>
                                <w:trHeight w:val="20"/>
                              </w:trPr>
                              <w:tc>
                                <w:tcPr>
                                  <w:tcW w:w="10632" w:type="dxa"/>
                                </w:tcPr>
                                <w:p w14:paraId="2A2B67B2" w14:textId="77777777" w:rsidR="00EF56FD" w:rsidRPr="00642089" w:rsidRDefault="00EF56FD" w:rsidP="000D139C">
                                  <w:pPr>
                                    <w:spacing w:before="240" w:after="0" w:line="240" w:lineRule="auto"/>
                                  </w:pPr>
                                  <w:r w:rsidRPr="00642089">
                                    <w:t xml:space="preserve">Attested on 16 April 2024 at 12:21 PM by Allan Waterson </w:t>
                                  </w:r>
                                  <w:r w:rsidRPr="00642089">
                                    <w:t>(Principal)</w:t>
                                  </w:r>
                                </w:p>
                              </w:tc>
                            </w:tr>
                          </w:tbl>
                          <w:p w14:paraId="55C3DBF1" w14:textId="77777777" w:rsidR="00EF56FD" w:rsidRDefault="00EF56FD"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95443" w14:paraId="14DA5DF1" w14:textId="77777777" w:rsidTr="000D139C">
                              <w:trPr>
                                <w:trHeight w:val="522"/>
                              </w:trPr>
                              <w:tc>
                                <w:tcPr>
                                  <w:tcW w:w="10632" w:type="dxa"/>
                                  <w:vAlign w:val="center"/>
                                </w:tcPr>
                                <w:p w14:paraId="55D98544" w14:textId="77777777" w:rsidR="00EF56FD" w:rsidRDefault="00EF56FD"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295443" w14:paraId="375E4883" w14:textId="77777777" w:rsidTr="000D139C">
                              <w:trPr>
                                <w:trHeight w:val="113"/>
                              </w:trPr>
                              <w:tc>
                                <w:tcPr>
                                  <w:tcW w:w="10632" w:type="dxa"/>
                                </w:tcPr>
                                <w:p w14:paraId="1852B108" w14:textId="77777777" w:rsidR="00EF56FD" w:rsidRPr="00642089" w:rsidRDefault="00EF56FD" w:rsidP="000D139C">
                                  <w:pPr>
                                    <w:spacing w:before="240" w:after="0" w:line="240" w:lineRule="auto"/>
                                  </w:pPr>
                                  <w:r w:rsidRPr="00642089">
                                    <w:t xml:space="preserve">Attested on 01 May 2024 at 09:07 AM by Mrs Perugini (School Council </w:t>
                                  </w:r>
                                  <w:r w:rsidRPr="00642089">
                                    <w:t>President)</w:t>
                                  </w:r>
                                </w:p>
                              </w:tc>
                            </w:tr>
                          </w:tbl>
                          <w:p w14:paraId="3710A3CE" w14:textId="77777777" w:rsidR="00EF56FD" w:rsidRDefault="00EF56FD" w:rsidP="00177D7F"/>
                        </w:txbxContent>
                      </v:textbox>
                      <w10:wrap anchorx="margin"/>
                    </v:shape>
                  </w:pict>
                </mc:Fallback>
              </mc:AlternateContent>
            </w:r>
          </w:p>
        </w:tc>
      </w:tr>
    </w:tbl>
    <w:p w14:paraId="637345DA" w14:textId="77777777" w:rsidR="00EF56FD" w:rsidRPr="00EA76EA" w:rsidRDefault="00EF56FD"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Glenroy Specialist School (4915)</w:t>
      </w:r>
    </w:p>
    <w:p w14:paraId="584BA432" w14:textId="77777777" w:rsidR="00EF56FD" w:rsidRPr="00EA76EA" w:rsidRDefault="00EF56FD" w:rsidP="00A66941">
      <w:pPr>
        <w:ind w:right="419"/>
        <w:rPr>
          <w:color w:val="FFFFFF" w:themeColor="background1"/>
          <w:sz w:val="36"/>
          <w:szCs w:val="36"/>
          <w:lang w:val="en-AU"/>
        </w:rPr>
      </w:pPr>
    </w:p>
    <w:p w14:paraId="68E6F07F" w14:textId="77777777" w:rsidR="00EF56FD" w:rsidRPr="00EA76EA" w:rsidRDefault="00EF56FD" w:rsidP="00AF1438">
      <w:pPr>
        <w:ind w:left="540" w:right="419"/>
        <w:rPr>
          <w:color w:val="595959" w:themeColor="text1" w:themeTint="A6"/>
          <w:lang w:val="en-AU"/>
        </w:rPr>
      </w:pPr>
    </w:p>
    <w:p w14:paraId="7EA52C46" w14:textId="77777777" w:rsidR="00EF56FD" w:rsidRPr="00EA76EA" w:rsidRDefault="00EF56FD"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21A0681A" w14:textId="77777777" w:rsidR="00EF56FD" w:rsidRDefault="00EF56FD" w:rsidP="000203C1">
      <w:pPr>
        <w:pStyle w:val="ESHeading10"/>
        <w:spacing w:after="0" w:line="240" w:lineRule="auto"/>
      </w:pPr>
      <w:r>
        <w:lastRenderedPageBreak/>
        <w:t>How to read the Annual Report</w:t>
      </w:r>
    </w:p>
    <w:p w14:paraId="21C66BDD" w14:textId="77777777" w:rsidR="00EF56FD" w:rsidRPr="006825C7" w:rsidRDefault="00EF56FD" w:rsidP="0037643B">
      <w:pPr>
        <w:pStyle w:val="Style10"/>
        <w:spacing w:before="0" w:after="120"/>
      </w:pPr>
      <w:r w:rsidRPr="006825C7">
        <w:t xml:space="preserve">What does the </w:t>
      </w:r>
      <w:r>
        <w:rPr>
          <w:i/>
          <w:iCs/>
        </w:rPr>
        <w:t>‘A</w:t>
      </w:r>
      <w:r w:rsidRPr="00F04D52">
        <w:rPr>
          <w:i/>
          <w:iCs/>
        </w:rPr>
        <w:t>bout Our School</w:t>
      </w:r>
      <w:r>
        <w:rPr>
          <w:i/>
          <w:iCs/>
        </w:rPr>
        <w:t>’</w:t>
      </w:r>
      <w:r w:rsidRPr="006825C7">
        <w:t xml:space="preserve"> </w:t>
      </w:r>
      <w:r>
        <w:t xml:space="preserve">commentary </w:t>
      </w:r>
      <w:r w:rsidRPr="006825C7">
        <w:t xml:space="preserve">section </w:t>
      </w:r>
      <w:r>
        <w:t xml:space="preserve">of this report </w:t>
      </w:r>
      <w:r w:rsidRPr="00B637FF">
        <w:t>refer</w:t>
      </w:r>
      <w:r w:rsidRPr="006825C7">
        <w:t xml:space="preserve"> to?</w:t>
      </w:r>
    </w:p>
    <w:p w14:paraId="5424BC86" w14:textId="77777777" w:rsidR="00EF56FD" w:rsidRPr="007B3E14" w:rsidRDefault="00EF56FD" w:rsidP="00E10A80">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20614636" w14:textId="77777777" w:rsidR="00EF56FD" w:rsidRPr="007B3E14" w:rsidRDefault="00EF56FD" w:rsidP="00E10A80">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4ECF3DD0" w14:textId="77777777" w:rsidR="00EF56FD" w:rsidRDefault="00EF56FD" w:rsidP="00E10A80">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7F83373D" w14:textId="77777777" w:rsidR="00EF56FD" w:rsidRDefault="00EF56FD" w:rsidP="00F04D52">
      <w:pPr>
        <w:pStyle w:val="Style10"/>
        <w:spacing w:before="0" w:after="120"/>
      </w:pPr>
      <w:r>
        <w:t xml:space="preserve">What does the </w:t>
      </w:r>
      <w:r>
        <w:rPr>
          <w:i/>
        </w:rPr>
        <w:t>‘P</w:t>
      </w:r>
      <w:r w:rsidRPr="007567CF">
        <w:rPr>
          <w:i/>
        </w:rPr>
        <w:t>erformance Summary</w:t>
      </w:r>
      <w:r>
        <w:rPr>
          <w:i/>
        </w:rPr>
        <w:t>’</w:t>
      </w:r>
      <w:r>
        <w:t xml:space="preserve"> section of this report refer to?</w:t>
      </w:r>
    </w:p>
    <w:p w14:paraId="67EB27D4" w14:textId="77777777" w:rsidR="00EF56FD" w:rsidRDefault="00EF56FD" w:rsidP="00F04D52">
      <w:pPr>
        <w:spacing w:line="240" w:lineRule="auto"/>
        <w:rPr>
          <w:rFonts w:eastAsia="Arial" w:cs="Times New Roman"/>
          <w:color w:val="000000"/>
          <w:szCs w:val="20"/>
        </w:rPr>
      </w:pPr>
      <w:r>
        <w:rPr>
          <w:rFonts w:eastAsia="Arial" w:cs="Times New Roman"/>
          <w:color w:val="000000"/>
          <w:szCs w:val="20"/>
        </w:rPr>
        <w:t>The</w:t>
      </w:r>
      <w:r>
        <w:rPr>
          <w:rFonts w:eastAsia="Arial" w:cs="Times New Roman"/>
          <w:color w:val="000000"/>
          <w:szCs w:val="20"/>
        </w:rPr>
        <w:t xml:space="preserve"> Performance Summary </w:t>
      </w:r>
      <w:r>
        <w:rPr>
          <w:rFonts w:eastAsia="Arial" w:cs="Times New Roman"/>
          <w:color w:val="000000"/>
          <w:szCs w:val="20"/>
        </w:rPr>
        <w:t>includes</w:t>
      </w:r>
      <w:r>
        <w:rPr>
          <w:rFonts w:eastAsia="Arial" w:cs="Times New Roman"/>
          <w:color w:val="000000"/>
          <w:szCs w:val="20"/>
        </w:rPr>
        <w:t xml:space="preserve"> the following</w:t>
      </w:r>
      <w:r>
        <w:rPr>
          <w:rFonts w:eastAsia="Arial" w:cs="Times New Roman"/>
          <w:color w:val="000000"/>
          <w:szCs w:val="20"/>
        </w:rPr>
        <w:t>:</w:t>
      </w:r>
    </w:p>
    <w:p w14:paraId="4363D5D8" w14:textId="77777777" w:rsidR="00EF56FD" w:rsidRDefault="00EF56FD" w:rsidP="00EA4C18">
      <w:pPr>
        <w:spacing w:line="240" w:lineRule="auto"/>
        <w:ind w:left="720"/>
        <w:rPr>
          <w:rFonts w:eastAsia="Arial" w:cs="Times New Roman"/>
          <w:b/>
          <w:color w:val="000000"/>
          <w:szCs w:val="20"/>
        </w:rPr>
      </w:pPr>
      <w:r>
        <w:rPr>
          <w:rFonts w:eastAsia="Arial" w:cs="Times New Roman"/>
          <w:b/>
          <w:color w:val="000000"/>
          <w:szCs w:val="20"/>
        </w:rPr>
        <w:t>School Profile</w:t>
      </w:r>
    </w:p>
    <w:p w14:paraId="680F9389" w14:textId="77777777" w:rsidR="00EF56FD" w:rsidRDefault="00EF56FD"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389BE754" w14:textId="77777777" w:rsidR="00EF56FD" w:rsidRPr="00A14E75" w:rsidRDefault="00EF56FD"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50066552" w14:textId="77777777" w:rsidR="00EF56FD" w:rsidRPr="00A14E75" w:rsidRDefault="00EF56FD"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Pr>
          <w:rFonts w:eastAsia="Arial" w:cs="Times New Roman"/>
          <w:bCs/>
          <w:color w:val="000000"/>
          <w:szCs w:val="20"/>
        </w:rPr>
        <w:t>for Specialist schools</w:t>
      </w:r>
    </w:p>
    <w:p w14:paraId="2069D288" w14:textId="77777777" w:rsidR="00EF56FD" w:rsidRDefault="00EF56FD" w:rsidP="00EA4C18">
      <w:pPr>
        <w:pStyle w:val="ListParagraph"/>
        <w:numPr>
          <w:ilvl w:val="0"/>
          <w:numId w:val="28"/>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in the area of</w:t>
      </w:r>
      <w:proofErr w:type="gramEnd"/>
      <w:r w:rsidRPr="00A14E75">
        <w:rPr>
          <w:rFonts w:eastAsia="Arial" w:cs="Times New Roman"/>
          <w:bCs/>
          <w:color w:val="000000"/>
          <w:szCs w:val="20"/>
        </w:rPr>
        <w:t xml:space="preserve"> School Climate in the School Staff Survey</w:t>
      </w:r>
      <w:r>
        <w:rPr>
          <w:rFonts w:eastAsia="Arial" w:cs="Times New Roman"/>
          <w:bCs/>
          <w:color w:val="000000"/>
          <w:szCs w:val="20"/>
        </w:rPr>
        <w:t xml:space="preserve">, shown against the statewide average </w:t>
      </w:r>
      <w:r>
        <w:rPr>
          <w:rFonts w:eastAsia="Arial" w:cs="Times New Roman"/>
          <w:bCs/>
          <w:color w:val="000000"/>
          <w:szCs w:val="20"/>
        </w:rPr>
        <w:t xml:space="preserve">for Specialist </w:t>
      </w:r>
      <w:r>
        <w:rPr>
          <w:rFonts w:eastAsia="Arial" w:cs="Times New Roman"/>
          <w:bCs/>
          <w:color w:val="000000"/>
          <w:szCs w:val="20"/>
        </w:rPr>
        <w:t>school</w:t>
      </w:r>
      <w:r>
        <w:rPr>
          <w:rFonts w:eastAsia="Arial" w:cs="Times New Roman"/>
          <w:bCs/>
          <w:color w:val="000000"/>
          <w:szCs w:val="20"/>
        </w:rPr>
        <w:t>s</w:t>
      </w:r>
    </w:p>
    <w:p w14:paraId="16BE79C9" w14:textId="77777777" w:rsidR="00EF56FD" w:rsidRDefault="00EF56FD" w:rsidP="00F04D52">
      <w:pPr>
        <w:spacing w:line="240" w:lineRule="auto"/>
        <w:ind w:left="720"/>
        <w:rPr>
          <w:rFonts w:eastAsia="Arial" w:cs="Times New Roman"/>
          <w:b/>
          <w:color w:val="000000"/>
          <w:szCs w:val="20"/>
        </w:rPr>
      </w:pPr>
      <w:r>
        <w:rPr>
          <w:rFonts w:eastAsia="Arial" w:cs="Times New Roman"/>
          <w:b/>
          <w:color w:val="000000"/>
          <w:szCs w:val="20"/>
        </w:rPr>
        <w:t>Learning</w:t>
      </w:r>
    </w:p>
    <w:p w14:paraId="2452C759" w14:textId="77777777" w:rsidR="00EF56FD" w:rsidRDefault="00EF56FD" w:rsidP="00F04D52">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16B66512" w14:textId="77777777" w:rsidR="00EF56FD" w:rsidRDefault="00EF56FD" w:rsidP="00F04D52">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6E501ECE" w14:textId="77777777" w:rsidR="00EF56FD" w:rsidRDefault="00EF56FD" w:rsidP="00F04D52">
      <w:pPr>
        <w:spacing w:line="240" w:lineRule="auto"/>
        <w:ind w:left="720"/>
        <w:rPr>
          <w:rFonts w:eastAsia="Arial" w:cs="Times New Roman"/>
          <w:color w:val="000000"/>
          <w:szCs w:val="20"/>
        </w:rPr>
      </w:pPr>
      <w:r>
        <w:rPr>
          <w:rFonts w:eastAsia="Arial" w:cs="Times New Roman"/>
          <w:color w:val="000000"/>
          <w:szCs w:val="20"/>
        </w:rPr>
        <w:t>Student attendance and engagement at school, including:</w:t>
      </w:r>
    </w:p>
    <w:p w14:paraId="12BAB8AE" w14:textId="77777777" w:rsidR="00EF56FD" w:rsidRDefault="00EF56FD" w:rsidP="00F04D52">
      <w:pPr>
        <w:numPr>
          <w:ilvl w:val="0"/>
          <w:numId w:val="27"/>
        </w:numPr>
        <w:spacing w:line="240" w:lineRule="auto"/>
        <w:ind w:left="1440"/>
        <w:rPr>
          <w:rFonts w:eastAsia="Arial" w:cs="Times New Roman"/>
          <w:color w:val="000000"/>
          <w:szCs w:val="20"/>
        </w:rPr>
      </w:pPr>
      <w:r>
        <w:rPr>
          <w:rFonts w:eastAsia="Arial" w:cs="Times New Roman"/>
          <w:color w:val="000000"/>
          <w:szCs w:val="20"/>
        </w:rPr>
        <w:t>how many exiting students go on to further studies or full-time work</w:t>
      </w:r>
    </w:p>
    <w:p w14:paraId="204B97CC" w14:textId="77777777" w:rsidR="00EF56FD" w:rsidRDefault="00EF56FD" w:rsidP="0037643B">
      <w:pPr>
        <w:pStyle w:val="ESBodyText0"/>
        <w:spacing w:after="240" w:line="240" w:lineRule="auto"/>
      </w:pPr>
      <w:r>
        <w:t xml:space="preserve">Results are displayed for the latest year </w:t>
      </w:r>
      <w:r>
        <w:t xml:space="preserve">and </w:t>
      </w:r>
      <w:r>
        <w:t xml:space="preserve">the </w:t>
      </w:r>
      <w:r>
        <w:t>average of the last four years (where available).</w:t>
      </w:r>
    </w:p>
    <w:p w14:paraId="0F0B2383" w14:textId="77777777" w:rsidR="00EF56FD" w:rsidRPr="00823895" w:rsidRDefault="00EF56FD" w:rsidP="00335DA5">
      <w:pPr>
        <w:pStyle w:val="ESBodyText0"/>
        <w:spacing w:line="240" w:lineRule="auto"/>
      </w:pPr>
      <w:r w:rsidRPr="00335DA5">
        <w:t>Key terms used in the Performance Summary are defined below:</w:t>
      </w:r>
      <w:r>
        <w:t xml:space="preserve"> </w:t>
      </w:r>
    </w:p>
    <w:p w14:paraId="395E071F" w14:textId="77777777" w:rsidR="00EF56FD" w:rsidRPr="0022080C" w:rsidRDefault="00EF56FD" w:rsidP="00335DA5">
      <w:pPr>
        <w:pStyle w:val="Body2"/>
        <w:spacing w:after="240" w:line="240" w:lineRule="auto"/>
        <w:rPr>
          <w:rFonts w:eastAsia="Arial"/>
          <w:b/>
          <w:bCs/>
          <w:color w:val="000000"/>
        </w:rPr>
      </w:pPr>
      <w:r>
        <w:rPr>
          <w:rFonts w:eastAsia="Arial"/>
          <w:b/>
          <w:bCs/>
          <w:color w:val="000000"/>
        </w:rPr>
        <w:t>NDP and NDA</w:t>
      </w:r>
    </w:p>
    <w:p w14:paraId="67440262" w14:textId="77777777" w:rsidR="00EF56FD" w:rsidRPr="00783E13" w:rsidRDefault="00EF56FD" w:rsidP="00335DA5">
      <w:pPr>
        <w:spacing w:line="240" w:lineRule="auto"/>
        <w:rPr>
          <w:rFonts w:eastAsia="Arial" w:cs="Times New Roman"/>
          <w:color w:val="000000"/>
          <w:szCs w:val="20"/>
        </w:rPr>
      </w:pPr>
      <w:r w:rsidRPr="00783E13">
        <w:rPr>
          <w:rFonts w:eastAsia="Arial" w:cs="Times New Roman"/>
          <w:color w:val="000000"/>
          <w:szCs w:val="20"/>
        </w:rPr>
        <w:t xml:space="preserve">NDP’ refers to no data being published for privacy reasons or where there are insufficient underlying data. For example, very low </w:t>
      </w:r>
      <w:r w:rsidRPr="00783E13">
        <w:rPr>
          <w:rFonts w:eastAsia="Arial" w:cs="Times New Roman"/>
          <w:color w:val="000000"/>
          <w:szCs w:val="20"/>
        </w:rPr>
        <w:t>numbers of participants or characteristics that may lead to identification will result in an ‘NDP’ label.</w:t>
      </w:r>
    </w:p>
    <w:p w14:paraId="371C4670" w14:textId="77777777" w:rsidR="00EF56FD" w:rsidRDefault="00EF56FD" w:rsidP="00335DA5">
      <w:pPr>
        <w:spacing w:line="240" w:lineRule="auto"/>
        <w:rPr>
          <w:rFonts w:eastAsia="Arial" w:cs="Times New Roman"/>
          <w:color w:val="000000"/>
          <w:szCs w:val="20"/>
        </w:rPr>
      </w:pPr>
      <w:r w:rsidRPr="00783E13">
        <w:rPr>
          <w:rFonts w:eastAsia="Arial" w:cs="Times New Roman"/>
          <w:color w:val="000000"/>
          <w:szCs w:val="20"/>
        </w:rPr>
        <w:t xml:space="preserve">‘NDA’ refers to no data being available. Some schools have no data for </w:t>
      </w:r>
      <w:proofErr w:type="gramStart"/>
      <w:r w:rsidRPr="00783E13">
        <w:rPr>
          <w:rFonts w:eastAsia="Arial" w:cs="Times New Roman"/>
          <w:color w:val="000000"/>
          <w:szCs w:val="20"/>
        </w:rPr>
        <w:t>particular measures</w:t>
      </w:r>
      <w:proofErr w:type="gramEnd"/>
      <w:r w:rsidRPr="00783E13">
        <w:rPr>
          <w:rFonts w:eastAsia="Arial" w:cs="Times New Roman"/>
          <w:color w:val="000000"/>
          <w:szCs w:val="20"/>
        </w:rPr>
        <w:t xml:space="preserve"> due to low enrolments. There may be no students enrolled in some year levels, so school comparisons are not possible.</w:t>
      </w:r>
    </w:p>
    <w:p w14:paraId="52C7128C" w14:textId="77777777" w:rsidR="00EF56FD" w:rsidRPr="00A52852" w:rsidRDefault="00EF56FD" w:rsidP="00335DA5">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schools that changed school type recently, where school-to-school comparisons are not appropriate.</w:t>
      </w:r>
    </w:p>
    <w:p w14:paraId="3A1F7939" w14:textId="77777777" w:rsidR="00EF56FD" w:rsidRPr="00335DA5" w:rsidRDefault="00EF56FD" w:rsidP="00335DA5">
      <w:pPr>
        <w:pStyle w:val="Body2"/>
        <w:spacing w:after="240" w:line="240" w:lineRule="auto"/>
        <w:rPr>
          <w:rFonts w:eastAsia="Arial"/>
          <w:b/>
          <w:bCs/>
          <w:color w:val="000000"/>
        </w:rPr>
      </w:pPr>
      <w:r w:rsidRPr="00335DA5">
        <w:rPr>
          <w:rFonts w:eastAsia="Arial"/>
          <w:b/>
          <w:bCs/>
          <w:color w:val="000000"/>
        </w:rPr>
        <w:t xml:space="preserve">What is the </w:t>
      </w:r>
      <w:r w:rsidRPr="00335DA5">
        <w:rPr>
          <w:rFonts w:eastAsia="Arial"/>
          <w:b/>
          <w:bCs/>
          <w:color w:val="000000"/>
        </w:rPr>
        <w:t>‘</w:t>
      </w:r>
      <w:r w:rsidRPr="00335DA5">
        <w:rPr>
          <w:rFonts w:eastAsia="Arial"/>
          <w:b/>
          <w:bCs/>
          <w:color w:val="000000"/>
        </w:rPr>
        <w:t xml:space="preserve">Towards Foundation Level </w:t>
      </w:r>
      <w:r w:rsidRPr="00335DA5">
        <w:rPr>
          <w:rFonts w:eastAsia="Arial"/>
          <w:b/>
          <w:bCs/>
          <w:color w:val="000000"/>
        </w:rPr>
        <w:t>V</w:t>
      </w:r>
      <w:r w:rsidRPr="00335DA5">
        <w:rPr>
          <w:rFonts w:eastAsia="Arial"/>
          <w:b/>
          <w:bCs/>
          <w:color w:val="000000"/>
        </w:rPr>
        <w:t>ictorian Curriculum</w:t>
      </w:r>
      <w:r w:rsidRPr="00335DA5">
        <w:rPr>
          <w:rFonts w:eastAsia="Arial"/>
          <w:b/>
          <w:bCs/>
          <w:color w:val="000000"/>
        </w:rPr>
        <w:t>’</w:t>
      </w:r>
      <w:r w:rsidRPr="00335DA5">
        <w:rPr>
          <w:rFonts w:eastAsia="Arial"/>
          <w:b/>
          <w:bCs/>
          <w:color w:val="000000"/>
        </w:rPr>
        <w:t>?</w:t>
      </w:r>
    </w:p>
    <w:p w14:paraId="647A5CEA" w14:textId="77777777" w:rsidR="00EF56FD" w:rsidRDefault="00EF56FD" w:rsidP="00467B14">
      <w:pPr>
        <w:rPr>
          <w:rFonts w:eastAsia="Arial"/>
          <w:color w:val="000000"/>
        </w:rPr>
      </w:pPr>
      <w:r>
        <w:rPr>
          <w:rFonts w:eastAsia="Arial"/>
          <w:color w:val="000000"/>
        </w:rPr>
        <w:t>The Victorian Curriculum is assessed through teacher judgements of student achievement based on classroom learning.</w:t>
      </w:r>
    </w:p>
    <w:p w14:paraId="454B7BB6" w14:textId="77777777" w:rsidR="00EF56FD" w:rsidRDefault="00EF56FD" w:rsidP="00467B14">
      <w:pPr>
        <w:rPr>
          <w:rFonts w:eastAsia="Arial"/>
          <w:color w:val="000000"/>
        </w:rPr>
      </w:pPr>
      <w:r>
        <w:rPr>
          <w:rFonts w:eastAsia="Arial"/>
          <w:color w:val="000000"/>
        </w:rPr>
        <w:t>The ‘Towards Foundation Level Victorian Curriculum’ is integrated directly into the curriculum and is referred to as ‘Levels A to D’.</w:t>
      </w:r>
    </w:p>
    <w:p w14:paraId="7BD5D4DF" w14:textId="77777777" w:rsidR="00EF56FD" w:rsidRDefault="00EF56FD" w:rsidP="00467B14">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w:t>
      </w:r>
    </w:p>
    <w:p w14:paraId="55547475" w14:textId="77777777" w:rsidR="00EF56FD" w:rsidRDefault="00EF56FD" w:rsidP="00467B14">
      <w:pPr>
        <w:spacing w:line="240" w:lineRule="auto"/>
        <w:rPr>
          <w:rFonts w:eastAsia="Arial"/>
          <w:color w:val="000000"/>
        </w:rPr>
      </w:pPr>
      <w:r>
        <w:rPr>
          <w:rFonts w:eastAsia="Arial"/>
          <w:color w:val="000000"/>
        </w:rPr>
        <w:t>‘Levels A to D’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‘Levels A to D’).</w:t>
      </w:r>
    </w:p>
    <w:p w14:paraId="240499AD" w14:textId="77777777" w:rsidR="00EF56FD" w:rsidRPr="00882C87" w:rsidRDefault="00EF56FD" w:rsidP="00882C87">
      <w:pPr>
        <w:pStyle w:val="Style10"/>
        <w:spacing w:before="0" w:after="120"/>
      </w:pPr>
      <w:r>
        <w:br w:type="page"/>
      </w:r>
      <w:r w:rsidRPr="00882C87">
        <w:lastRenderedPageBreak/>
        <w:t>Updates to the ‘</w:t>
      </w:r>
      <w:r w:rsidRPr="00882C87">
        <w:rPr>
          <w:i/>
          <w:iCs/>
        </w:rPr>
        <w:t>Performance Summary’</w:t>
      </w:r>
      <w:r w:rsidRPr="00882C87">
        <w:t xml:space="preserve"> in the 2023 Annual Report</w:t>
      </w:r>
    </w:p>
    <w:p w14:paraId="5F884E46" w14:textId="77777777" w:rsidR="00EF56FD" w:rsidRPr="00882C87" w:rsidRDefault="00EF56FD" w:rsidP="00882C87">
      <w:pPr>
        <w:pStyle w:val="ESBodyText0"/>
        <w:spacing w:line="240" w:lineRule="auto"/>
      </w:pPr>
      <w:r w:rsidRPr="00882C87">
        <w:t xml:space="preserve">Reporting on the following measures has been updated in the 2023 Annual Report to align with changes to departmental and public reporting products. </w:t>
      </w:r>
    </w:p>
    <w:p w14:paraId="0B2FB7C3" w14:textId="77777777" w:rsidR="00EF56FD" w:rsidRPr="00882C87" w:rsidRDefault="00EF56FD" w:rsidP="00882C87">
      <w:pPr>
        <w:pStyle w:val="ESBodyText0"/>
        <w:spacing w:line="240" w:lineRule="auto"/>
        <w:rPr>
          <w:b/>
          <w:bCs/>
        </w:rPr>
      </w:pPr>
      <w:r w:rsidRPr="00882C87">
        <w:rPr>
          <w:b/>
          <w:bCs/>
        </w:rPr>
        <w:t>Parent/Caregiver/Guardian Opinion Survey, School Staff Survey and the Attitudes to School Survey</w:t>
      </w:r>
    </w:p>
    <w:p w14:paraId="40A96FA2" w14:textId="77777777" w:rsidR="00EF56FD" w:rsidRPr="00882C87" w:rsidRDefault="00EF56FD" w:rsidP="00882C87">
      <w:pPr>
        <w:pStyle w:val="ESBodyText0"/>
        <w:spacing w:line="240" w:lineRule="auto"/>
      </w:pPr>
      <w:r w:rsidRPr="00882C87">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3F2C71BE" w14:textId="77777777" w:rsidR="00EF56FD" w:rsidRDefault="00EF56FD" w:rsidP="00882C87">
      <w:pPr>
        <w:pStyle w:val="ESBodyText0"/>
        <w:spacing w:line="240" w:lineRule="auto"/>
        <w:rPr>
          <w:rFonts w:eastAsiaTheme="majorEastAsia" w:cstheme="majorBidi"/>
          <w:b/>
          <w:color w:val="AF272F"/>
          <w:spacing w:val="5"/>
          <w:kern w:val="28"/>
          <w:sz w:val="44"/>
          <w:szCs w:val="52"/>
        </w:rPr>
      </w:pPr>
      <w:r w:rsidRPr="00882C87">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27146256" w14:textId="77777777" w:rsidR="00EF56FD" w:rsidRDefault="00EF56FD">
      <w:pPr>
        <w:spacing w:after="0" w:line="240" w:lineRule="auto"/>
        <w:sectPr w:rsidR="00405F6E" w:rsidSect="004C5FBF">
          <w:headerReference w:type="default" r:id="rId24"/>
          <w:footerReference w:type="default" r:id="rId25"/>
          <w:headerReference w:type="first" r:id="rId26"/>
          <w:type w:val="continuous"/>
          <w:pgSz w:w="11900" w:h="16840"/>
          <w:pgMar w:top="1276" w:right="567" w:bottom="709" w:left="567" w:header="142" w:footer="325" w:gutter="0"/>
          <w:cols w:space="397"/>
          <w:docGrid w:linePitch="360"/>
        </w:sectPr>
      </w:pPr>
      <w:r>
        <w:br w:type="page"/>
      </w:r>
    </w:p>
    <w:p w14:paraId="540D4EB0" w14:textId="77777777" w:rsidR="00EF56FD" w:rsidRPr="00EA76EA" w:rsidRDefault="00EF56FD"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295443" w14:paraId="5075199B" w14:textId="77777777" w:rsidTr="006A3A85">
        <w:trPr>
          <w:trHeight w:val="15"/>
        </w:trPr>
        <w:tc>
          <w:tcPr>
            <w:tcW w:w="10774" w:type="dxa"/>
            <w:shd w:val="clear" w:color="auto" w:fill="auto"/>
          </w:tcPr>
          <w:p w14:paraId="1D90A0CA" w14:textId="77777777" w:rsidR="00EF56FD" w:rsidRPr="00EA76EA" w:rsidRDefault="00EF56FD" w:rsidP="00F748EB">
            <w:pPr>
              <w:pStyle w:val="Style1"/>
              <w:spacing w:before="0"/>
              <w:jc w:val="both"/>
              <w:rPr>
                <w:b/>
                <w:bCs w:val="0"/>
                <w:szCs w:val="24"/>
                <w:lang w:val="en-AU"/>
              </w:rPr>
            </w:pPr>
            <w:r w:rsidRPr="00EA76EA">
              <w:rPr>
                <w:b/>
                <w:bCs w:val="0"/>
                <w:szCs w:val="24"/>
                <w:lang w:val="en-AU"/>
              </w:rPr>
              <w:t>School context</w:t>
            </w:r>
          </w:p>
        </w:tc>
      </w:tr>
      <w:tr w:rsidR="00295443" w14:paraId="055E7EBF" w14:textId="77777777" w:rsidTr="00A53F4D">
        <w:trPr>
          <w:trHeight w:val="15"/>
        </w:trPr>
        <w:tc>
          <w:tcPr>
            <w:tcW w:w="10774" w:type="dxa"/>
            <w:shd w:val="clear" w:color="auto" w:fill="auto"/>
          </w:tcPr>
          <w:p w14:paraId="3764404D" w14:textId="77777777" w:rsidR="00EF56FD" w:rsidRPr="008E7831" w:rsidRDefault="00EF56FD" w:rsidP="00994A0F">
            <w:pPr>
              <w:pStyle w:val="Heading3"/>
              <w:spacing w:before="0" w:after="0"/>
              <w:rPr>
                <w:b w:val="0"/>
                <w:color w:val="auto"/>
                <w:sz w:val="18"/>
              </w:rPr>
            </w:pPr>
            <w:r w:rsidRPr="008E7831">
              <w:rPr>
                <w:b w:val="0"/>
                <w:color w:val="auto"/>
                <w:sz w:val="18"/>
              </w:rPr>
              <w:t xml:space="preserve">Glenroy Specialist School is one of four schools in </w:t>
            </w:r>
            <w:r w:rsidRPr="008E7831">
              <w:rPr>
                <w:b w:val="0"/>
                <w:color w:val="auto"/>
                <w:sz w:val="18"/>
              </w:rPr>
              <w:t>Victoria for students who have physical and multiple disabilities and significant health concerns. In 2023 the enrolment was 140 EFT students ranging from 5 to 18 years. The student population is drawn from across the Northern and Western suburbs of Melbourne and most students travel to and from school in a fleet of 21 buses.</w:t>
            </w:r>
          </w:p>
          <w:p w14:paraId="1C03A084" w14:textId="77777777" w:rsidR="00EF56FD" w:rsidRPr="008E7831" w:rsidRDefault="00EF56FD" w:rsidP="00994A0F">
            <w:pPr>
              <w:pStyle w:val="Heading3"/>
              <w:spacing w:before="0" w:after="0"/>
              <w:rPr>
                <w:b w:val="0"/>
                <w:color w:val="auto"/>
                <w:sz w:val="18"/>
              </w:rPr>
            </w:pPr>
            <w:r w:rsidRPr="008E7831">
              <w:rPr>
                <w:b w:val="0"/>
                <w:color w:val="auto"/>
                <w:sz w:val="18"/>
              </w:rPr>
              <w:t xml:space="preserve">In semester one, the school undertook a refresh of the school values. All members of the school community had the opportunity to contribute to the refresh of the school values. Our vision at Glenroy Specialist School is to educate in an inclusive, respectful, compassionate and creative learning environment. This provides the opportunity for our community to feel empowered, happy, resilient and proud. The school values </w:t>
            </w:r>
            <w:proofErr w:type="gramStart"/>
            <w:r w:rsidRPr="008E7831">
              <w:rPr>
                <w:b w:val="0"/>
                <w:color w:val="auto"/>
                <w:sz w:val="18"/>
              </w:rPr>
              <w:t>are:</w:t>
            </w:r>
            <w:proofErr w:type="gramEnd"/>
            <w:r w:rsidRPr="008E7831">
              <w:rPr>
                <w:b w:val="0"/>
                <w:color w:val="auto"/>
                <w:sz w:val="18"/>
              </w:rPr>
              <w:t xml:space="preserve"> Respect, Inclusion, Compassion and Creativity. The school motto of 'Working Together </w:t>
            </w:r>
            <w:proofErr w:type="gramStart"/>
            <w:r w:rsidRPr="008E7831">
              <w:rPr>
                <w:b w:val="0"/>
                <w:color w:val="auto"/>
                <w:sz w:val="18"/>
              </w:rPr>
              <w:t>To</w:t>
            </w:r>
            <w:proofErr w:type="gramEnd"/>
            <w:r w:rsidRPr="008E7831">
              <w:rPr>
                <w:b w:val="0"/>
                <w:color w:val="auto"/>
                <w:sz w:val="18"/>
              </w:rPr>
              <w:t xml:space="preserve"> Achieve' acknowledges the strong partnerships that underpin all that is achieved by the school and our students.</w:t>
            </w:r>
          </w:p>
          <w:p w14:paraId="5231B9ED" w14:textId="77777777" w:rsidR="00EF56FD" w:rsidRPr="008E7831" w:rsidRDefault="00EF56FD" w:rsidP="00994A0F">
            <w:pPr>
              <w:pStyle w:val="Heading3"/>
              <w:spacing w:before="0" w:after="0"/>
              <w:rPr>
                <w:b w:val="0"/>
                <w:color w:val="auto"/>
                <w:sz w:val="18"/>
              </w:rPr>
            </w:pPr>
            <w:r w:rsidRPr="008E7831">
              <w:rPr>
                <w:b w:val="0"/>
                <w:color w:val="auto"/>
                <w:sz w:val="18"/>
              </w:rPr>
              <w:t>Glenroy Specialist School is housed in a world class facility designed to support the specific learning and care needs of our students. The building features natural light, wide spaces, specialist learning and physical activity areas and integrated manual handling and care systems to support the occupational health and safety of all members of the school community. With a funding grant of 1.77 million dollars allocated to Glenroy Specialist School in the May 2022 State Budget, works commenced in September 2</w:t>
            </w:r>
            <w:r w:rsidRPr="008E7831">
              <w:rPr>
                <w:b w:val="0"/>
                <w:color w:val="auto"/>
                <w:sz w:val="18"/>
              </w:rPr>
              <w:t>023 on our performing arts precinct. This will see the creation of a dedicated performing arts and music spaces that accommodates the specific needs of our students.</w:t>
            </w:r>
          </w:p>
          <w:p w14:paraId="58B687FF" w14:textId="77777777" w:rsidR="00EF56FD" w:rsidRPr="008E7831" w:rsidRDefault="00EF56FD" w:rsidP="00994A0F">
            <w:pPr>
              <w:pStyle w:val="Heading3"/>
              <w:spacing w:before="0" w:after="0"/>
              <w:rPr>
                <w:b w:val="0"/>
                <w:color w:val="auto"/>
                <w:sz w:val="18"/>
              </w:rPr>
            </w:pPr>
            <w:r w:rsidRPr="008E7831">
              <w:rPr>
                <w:b w:val="0"/>
                <w:color w:val="auto"/>
                <w:sz w:val="18"/>
              </w:rPr>
              <w:t>The school is divided into Junior, Middle and Senior sub-schools. The school started the year with 20 classes, 7 Juniors, 7 Middles and 6 Senior classes. This structure was maintained throughout the year. The average class size was 7. Classes are structured to bring together groups of students of similar ages with similar learning styles.</w:t>
            </w:r>
          </w:p>
          <w:p w14:paraId="6D8C25BD" w14:textId="77777777" w:rsidR="00EF56FD" w:rsidRPr="008E7831" w:rsidRDefault="00EF56FD" w:rsidP="00994A0F">
            <w:pPr>
              <w:pStyle w:val="Heading3"/>
              <w:spacing w:before="0" w:after="0"/>
              <w:rPr>
                <w:b w:val="0"/>
                <w:color w:val="auto"/>
                <w:sz w:val="18"/>
              </w:rPr>
            </w:pPr>
            <w:r w:rsidRPr="008E7831">
              <w:rPr>
                <w:b w:val="0"/>
                <w:color w:val="auto"/>
                <w:sz w:val="18"/>
              </w:rPr>
              <w:t>The staffing profile of Glenroy Specialist School in 2023 was 30.6 full time equivalent teachers, including a principal, two assistant principals, three leading teachers and two learning specialists. Over half of the teaching staff have Special Education qualifications or are working towards these qualifications. The school has 115 Education Support staff, (87 EFT). Of these 8 are administration officers, 81 are classroom assistants, along with 26 staff members each working 2 hours per day as mealtime assis</w:t>
            </w:r>
            <w:r w:rsidRPr="008E7831">
              <w:rPr>
                <w:b w:val="0"/>
                <w:color w:val="auto"/>
                <w:sz w:val="18"/>
              </w:rPr>
              <w:t xml:space="preserve">tants who have specific training to support the students at lunchtime. The school also employs 5 Speech Pathologists, 5 Occupations Therapists, 4 Physiotherapists, 4 Nurses and 2 general </w:t>
            </w:r>
            <w:proofErr w:type="gramStart"/>
            <w:r w:rsidRPr="008E7831">
              <w:rPr>
                <w:b w:val="0"/>
                <w:color w:val="auto"/>
                <w:sz w:val="18"/>
              </w:rPr>
              <w:t>maintenance</w:t>
            </w:r>
            <w:proofErr w:type="gramEnd"/>
            <w:r w:rsidRPr="008E7831">
              <w:rPr>
                <w:b w:val="0"/>
                <w:color w:val="auto"/>
                <w:sz w:val="18"/>
              </w:rPr>
              <w:t xml:space="preserve"> personal. </w:t>
            </w:r>
          </w:p>
          <w:p w14:paraId="3490B747" w14:textId="77777777" w:rsidR="00EF56FD" w:rsidRPr="008E7831" w:rsidRDefault="00EF56FD" w:rsidP="00994A0F">
            <w:pPr>
              <w:pStyle w:val="Heading3"/>
              <w:spacing w:before="0" w:after="0"/>
              <w:rPr>
                <w:b w:val="0"/>
                <w:color w:val="auto"/>
                <w:sz w:val="18"/>
              </w:rPr>
            </w:pPr>
            <w:r w:rsidRPr="008E7831">
              <w:rPr>
                <w:b w:val="0"/>
                <w:color w:val="auto"/>
                <w:sz w:val="18"/>
              </w:rPr>
              <w:t>In second semester the school participated in a school review. This was an opportunity to reflect on the work of the previous four years, celebrate the successes and plan the future direction for the next four years. Following the recommendations from the school review a new School Strategic Plan (2023-2027) was developed that has set the direction and goals for the next four years.</w:t>
            </w:r>
          </w:p>
          <w:p w14:paraId="2ED3DCC3" w14:textId="77777777" w:rsidR="00EF56FD" w:rsidRPr="008E7831" w:rsidRDefault="00EF56FD" w:rsidP="00994A0F">
            <w:pPr>
              <w:pStyle w:val="Heading3"/>
              <w:spacing w:before="0" w:after="0"/>
              <w:rPr>
                <w:b w:val="0"/>
                <w:color w:val="auto"/>
                <w:sz w:val="18"/>
              </w:rPr>
            </w:pPr>
            <w:r w:rsidRPr="008E7831">
              <w:rPr>
                <w:b w:val="0"/>
                <w:color w:val="auto"/>
                <w:sz w:val="18"/>
              </w:rPr>
              <w:t>All staff at Glenroy Specialist School along with the students and their families are to be congratulated for their efforts and commitment throughout 2023.</w:t>
            </w:r>
          </w:p>
          <w:p w14:paraId="10C8E0A3" w14:textId="77777777" w:rsidR="00EF56FD" w:rsidRPr="008E7831" w:rsidRDefault="00EF56FD" w:rsidP="00994A0F">
            <w:pPr>
              <w:pStyle w:val="Heading3"/>
              <w:spacing w:before="0" w:after="0"/>
              <w:rPr>
                <w:b w:val="0"/>
                <w:color w:val="auto"/>
                <w:sz w:val="18"/>
                <w:lang w:val="en-AU"/>
              </w:rPr>
            </w:pPr>
          </w:p>
        </w:tc>
      </w:tr>
      <w:tr w:rsidR="00295443" w14:paraId="17F283B1" w14:textId="77777777" w:rsidTr="00A53F4D">
        <w:trPr>
          <w:trHeight w:val="15"/>
        </w:trPr>
        <w:tc>
          <w:tcPr>
            <w:tcW w:w="10774" w:type="dxa"/>
            <w:shd w:val="clear" w:color="auto" w:fill="auto"/>
          </w:tcPr>
          <w:p w14:paraId="15311B57" w14:textId="77777777" w:rsidR="00EF56FD" w:rsidRPr="00EA76EA" w:rsidRDefault="00EF56FD"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295443" w14:paraId="628CB69B" w14:textId="77777777" w:rsidTr="00A53F4D">
        <w:trPr>
          <w:trHeight w:val="15"/>
        </w:trPr>
        <w:tc>
          <w:tcPr>
            <w:tcW w:w="10774" w:type="dxa"/>
            <w:shd w:val="clear" w:color="auto" w:fill="auto"/>
          </w:tcPr>
          <w:p w14:paraId="4DB2E1C9" w14:textId="77777777" w:rsidR="00EF56FD" w:rsidRPr="00EA76EA" w:rsidRDefault="00EF56FD" w:rsidP="00994A0F">
            <w:pPr>
              <w:pStyle w:val="Heading3"/>
              <w:spacing w:before="0" w:after="0"/>
              <w:rPr>
                <w:b w:val="0"/>
                <w:szCs w:val="20"/>
                <w:lang w:val="en-AU"/>
              </w:rPr>
            </w:pPr>
            <w:r w:rsidRPr="00EA76EA">
              <w:rPr>
                <w:bCs/>
                <w:color w:val="C00000"/>
                <w:szCs w:val="20"/>
                <w:lang w:val="en-AU"/>
              </w:rPr>
              <w:t>Learning</w:t>
            </w:r>
          </w:p>
        </w:tc>
      </w:tr>
      <w:tr w:rsidR="00295443" w14:paraId="7436BDAE" w14:textId="77777777" w:rsidTr="00A53F4D">
        <w:trPr>
          <w:trHeight w:val="15"/>
        </w:trPr>
        <w:tc>
          <w:tcPr>
            <w:tcW w:w="10774" w:type="dxa"/>
            <w:shd w:val="clear" w:color="auto" w:fill="auto"/>
          </w:tcPr>
          <w:p w14:paraId="4B46494D" w14:textId="77777777" w:rsidR="00EF56FD" w:rsidRPr="00EA76EA" w:rsidRDefault="00EF56FD" w:rsidP="00994A0F">
            <w:pPr>
              <w:pStyle w:val="Heading3"/>
              <w:spacing w:before="0" w:after="0"/>
              <w:rPr>
                <w:b w:val="0"/>
                <w:color w:val="auto"/>
                <w:sz w:val="18"/>
              </w:rPr>
            </w:pPr>
            <w:r w:rsidRPr="00EA76EA">
              <w:rPr>
                <w:b w:val="0"/>
                <w:color w:val="auto"/>
                <w:sz w:val="18"/>
              </w:rPr>
              <w:t xml:space="preserve">A highlight and major focus in 2023 </w:t>
            </w:r>
            <w:proofErr w:type="gramStart"/>
            <w:r w:rsidRPr="00EA76EA">
              <w:rPr>
                <w:b w:val="0"/>
                <w:color w:val="auto"/>
                <w:sz w:val="18"/>
              </w:rPr>
              <w:t>was</w:t>
            </w:r>
            <w:proofErr w:type="gramEnd"/>
            <w:r w:rsidRPr="00EA76EA">
              <w:rPr>
                <w:b w:val="0"/>
                <w:color w:val="auto"/>
                <w:sz w:val="18"/>
              </w:rPr>
              <w:t xml:space="preserve"> the involvement of all staff in an intensive literacy professional development and implementation initiative, focussing on Comprehensive Literacy Instruction for students with Complex </w:t>
            </w:r>
            <w:r w:rsidRPr="00EA76EA">
              <w:rPr>
                <w:b w:val="0"/>
                <w:color w:val="auto"/>
                <w:sz w:val="18"/>
              </w:rPr>
              <w:t>Communication Needs. The focus of the PLC work in 2023 was on building staff capacity and developing a common understanding of how best to support students with complex communication needs and implementing the professional development undertaken.</w:t>
            </w:r>
          </w:p>
          <w:p w14:paraId="6276E583" w14:textId="77777777" w:rsidR="00EF56FD" w:rsidRPr="00EA76EA" w:rsidRDefault="00EF56FD" w:rsidP="00994A0F">
            <w:pPr>
              <w:pStyle w:val="Heading3"/>
              <w:spacing w:before="0" w:after="0"/>
              <w:rPr>
                <w:b w:val="0"/>
                <w:color w:val="auto"/>
                <w:sz w:val="18"/>
              </w:rPr>
            </w:pPr>
            <w:r w:rsidRPr="00EA76EA">
              <w:rPr>
                <w:b w:val="0"/>
                <w:color w:val="auto"/>
                <w:sz w:val="18"/>
              </w:rPr>
              <w:t> First semester was spent undertaking a Pre-review Self-evaluation (PRSE) in preparation for a school review at the commencement of Semester 2. This was an opportunity for the school community to reflect on the work undertaken over the last four years and celebrate the success whilst also identifying opportunities to support student learning and wellbeing growth. The school review provided an opportunity for the school to reflect on the PRSE, consult with all sectors of the school community and develop goal</w:t>
            </w:r>
            <w:r w:rsidRPr="00EA76EA">
              <w:rPr>
                <w:b w:val="0"/>
                <w:color w:val="auto"/>
                <w:sz w:val="18"/>
              </w:rPr>
              <w:t>s and targets as part of the new School Strategic Plan.</w:t>
            </w:r>
          </w:p>
          <w:p w14:paraId="064FCAEE" w14:textId="77777777" w:rsidR="00EF56FD" w:rsidRPr="00EA76EA" w:rsidRDefault="00EF56FD" w:rsidP="00994A0F">
            <w:pPr>
              <w:pStyle w:val="Heading3"/>
              <w:spacing w:before="0" w:after="0"/>
              <w:rPr>
                <w:b w:val="0"/>
                <w:color w:val="auto"/>
                <w:sz w:val="18"/>
              </w:rPr>
            </w:pPr>
            <w:r w:rsidRPr="00EA76EA">
              <w:rPr>
                <w:b w:val="0"/>
                <w:color w:val="auto"/>
                <w:sz w:val="18"/>
              </w:rPr>
              <w:t>All students have Individual Education Plans (IEP) that were developed and then reviewed when families and school-based teams met as the Student Support Group. Student Support Group meetings were conducted termly. The curriculum was developed using the Victorian Curriculum Foundation Levels. The school has a set of Teaching and Learning Protocols that provided the foundation for all teaching and learning programs.</w:t>
            </w:r>
          </w:p>
          <w:p w14:paraId="3E28B4FF" w14:textId="77777777" w:rsidR="00EF56FD" w:rsidRPr="00EA76EA" w:rsidRDefault="00EF56FD" w:rsidP="00994A0F">
            <w:pPr>
              <w:pStyle w:val="Heading3"/>
              <w:spacing w:before="0" w:after="0"/>
              <w:rPr>
                <w:b w:val="0"/>
                <w:color w:val="auto"/>
                <w:sz w:val="18"/>
              </w:rPr>
            </w:pPr>
            <w:r w:rsidRPr="00EA76EA">
              <w:rPr>
                <w:b w:val="0"/>
                <w:color w:val="auto"/>
                <w:sz w:val="18"/>
              </w:rPr>
              <w:t>School performance data published by the Department of Education for Glenroy Specialist school as part of the PANORAMA report indicates the following - Teacher judgements in English: Reading and Viewing   25.0% of students are at Level A, 41% of students are at   Level B,16% of students are at Level C, 18% of students are at level D or higher. Teacher judgements in English Speaking and Listening:   19.0% of students are at Level A, 50% of students are at Level B,13% of students are at Level C, 17% of studen</w:t>
            </w:r>
            <w:r w:rsidRPr="00EA76EA">
              <w:rPr>
                <w:b w:val="0"/>
                <w:color w:val="auto"/>
                <w:sz w:val="18"/>
              </w:rPr>
              <w:t xml:space="preserve">ts </w:t>
            </w:r>
            <w:r w:rsidRPr="00EA76EA">
              <w:rPr>
                <w:b w:val="0"/>
                <w:color w:val="auto"/>
                <w:sz w:val="18"/>
              </w:rPr>
              <w:lastRenderedPageBreak/>
              <w:t>are at level D or higher. Teacher judgements in English: Writing   22.0% of students are at  Level A, 49% of students are at Level B,15% of students are at  Level C,  16.% of students are at level D or higher.</w:t>
            </w:r>
            <w:r w:rsidRPr="00EA76EA">
              <w:rPr>
                <w:b w:val="0"/>
                <w:color w:val="auto"/>
                <w:sz w:val="18"/>
              </w:rPr>
              <w:br/>
            </w:r>
            <w:r w:rsidRPr="00EA76EA">
              <w:rPr>
                <w:b w:val="0"/>
                <w:color w:val="auto"/>
                <w:sz w:val="18"/>
              </w:rPr>
              <w:br/>
              <w:t>Teacher judgements in Mathematics: Measurement and geometry  32% of students are at  Level A,  37% of students are at Level B, 15.0% of students are at  Level C,  16% of students are at level D or higher. Teacher judgement in Number and Algebra 32% of students are at Level A, 37% of students are a</w:t>
            </w:r>
            <w:r w:rsidRPr="00EA76EA">
              <w:rPr>
                <w:b w:val="0"/>
                <w:color w:val="auto"/>
                <w:sz w:val="18"/>
              </w:rPr>
              <w:t>t Level B, 17.0% of students are at Level C, 14% of students are at level D or higher.</w:t>
            </w:r>
          </w:p>
          <w:p w14:paraId="3AB47EBE" w14:textId="77777777" w:rsidR="00EF56FD" w:rsidRPr="00EA76EA" w:rsidRDefault="00EF56FD" w:rsidP="00994A0F">
            <w:pPr>
              <w:pStyle w:val="Heading3"/>
              <w:spacing w:before="0" w:after="0"/>
              <w:rPr>
                <w:b w:val="0"/>
                <w:color w:val="auto"/>
                <w:sz w:val="18"/>
              </w:rPr>
            </w:pPr>
            <w:r w:rsidRPr="00EA76EA">
              <w:rPr>
                <w:b w:val="0"/>
                <w:color w:val="auto"/>
                <w:sz w:val="18"/>
              </w:rPr>
              <w:t>The collaboration between teachers and therapy staff through the Team Around the Learner (TAL) model to plan and deliver an engaging curriculum for the students was a highlight and showed the strength in the collaborative partnership.  TALs meet regularly to discuss individual and class progress.</w:t>
            </w:r>
          </w:p>
          <w:p w14:paraId="396F0C46" w14:textId="77777777" w:rsidR="00EF56FD" w:rsidRPr="00EA76EA" w:rsidRDefault="00EF56FD" w:rsidP="00994A0F">
            <w:pPr>
              <w:pStyle w:val="Heading3"/>
              <w:spacing w:before="0" w:after="0"/>
              <w:rPr>
                <w:b w:val="0"/>
                <w:color w:val="auto"/>
                <w:sz w:val="18"/>
                <w:lang w:val="en-AU"/>
              </w:rPr>
            </w:pPr>
          </w:p>
        </w:tc>
      </w:tr>
      <w:tr w:rsidR="00295443" w14:paraId="70D7BDED" w14:textId="77777777" w:rsidTr="00A53F4D">
        <w:trPr>
          <w:trHeight w:val="15"/>
        </w:trPr>
        <w:tc>
          <w:tcPr>
            <w:tcW w:w="10774" w:type="dxa"/>
            <w:shd w:val="clear" w:color="auto" w:fill="auto"/>
          </w:tcPr>
          <w:p w14:paraId="7317BDC2" w14:textId="77777777" w:rsidR="00EF56FD" w:rsidRPr="00EA76EA" w:rsidRDefault="00EF56FD" w:rsidP="00994A0F">
            <w:pPr>
              <w:pStyle w:val="Heading3"/>
              <w:spacing w:before="0" w:after="0"/>
              <w:rPr>
                <w:b w:val="0"/>
                <w:szCs w:val="20"/>
                <w:lang w:val="en-AU"/>
              </w:rPr>
            </w:pPr>
            <w:r w:rsidRPr="00EA76EA">
              <w:rPr>
                <w:bCs/>
                <w:color w:val="C00000"/>
                <w:szCs w:val="20"/>
                <w:lang w:val="en-AU"/>
              </w:rPr>
              <w:lastRenderedPageBreak/>
              <w:t>Wellbeing</w:t>
            </w:r>
          </w:p>
        </w:tc>
      </w:tr>
      <w:tr w:rsidR="00295443" w14:paraId="5E97F7DD" w14:textId="77777777" w:rsidTr="00A53F4D">
        <w:trPr>
          <w:trHeight w:val="15"/>
        </w:trPr>
        <w:tc>
          <w:tcPr>
            <w:tcW w:w="10774" w:type="dxa"/>
            <w:shd w:val="clear" w:color="auto" w:fill="auto"/>
          </w:tcPr>
          <w:p w14:paraId="1F9E1015" w14:textId="77777777" w:rsidR="00EF56FD" w:rsidRPr="00EA76EA" w:rsidRDefault="00EF56FD" w:rsidP="00994A0F">
            <w:pPr>
              <w:pStyle w:val="Heading3"/>
              <w:spacing w:before="0" w:after="0"/>
              <w:rPr>
                <w:b w:val="0"/>
                <w:color w:val="auto"/>
                <w:sz w:val="18"/>
              </w:rPr>
            </w:pPr>
            <w:r w:rsidRPr="00EA76EA">
              <w:rPr>
                <w:b w:val="0"/>
                <w:color w:val="auto"/>
                <w:sz w:val="18"/>
              </w:rPr>
              <w:t>While Glenroy Specialist School prides itself on meeting the educational goals for all students, the school is well recognised and highly regarded for supporting the needs of the whole child through a high quality and comprehensive care approach. The nature of Glenroy Specialist School means that the wellbeing of all students is given high priority.</w:t>
            </w:r>
          </w:p>
          <w:p w14:paraId="0DDBA729" w14:textId="77777777" w:rsidR="00EF56FD" w:rsidRPr="00EA76EA" w:rsidRDefault="00EF56FD" w:rsidP="00994A0F">
            <w:pPr>
              <w:pStyle w:val="Heading3"/>
              <w:spacing w:before="0" w:after="0"/>
              <w:rPr>
                <w:b w:val="0"/>
                <w:color w:val="auto"/>
                <w:sz w:val="18"/>
              </w:rPr>
            </w:pPr>
            <w:r w:rsidRPr="00EA76EA">
              <w:rPr>
                <w:b w:val="0"/>
                <w:color w:val="auto"/>
                <w:sz w:val="18"/>
              </w:rPr>
              <w:t xml:space="preserve">One of the key </w:t>
            </w:r>
            <w:proofErr w:type="gramStart"/>
            <w:r w:rsidRPr="00EA76EA">
              <w:rPr>
                <w:b w:val="0"/>
                <w:color w:val="auto"/>
                <w:sz w:val="18"/>
              </w:rPr>
              <w:t>initiatives  implemented</w:t>
            </w:r>
            <w:proofErr w:type="gramEnd"/>
            <w:r w:rsidRPr="00EA76EA">
              <w:rPr>
                <w:b w:val="0"/>
                <w:color w:val="auto"/>
                <w:sz w:val="18"/>
              </w:rPr>
              <w:t xml:space="preserve"> to support student wellbeing was the delivery of the Respectful Relationships Program with the establishment of a Respectful Relationships committee. The committee undertook an audit of resources and documentation, commenced building relationships with other schools through participation in the Respectful Relations </w:t>
            </w:r>
            <w:proofErr w:type="gramStart"/>
            <w:r w:rsidRPr="00EA76EA">
              <w:rPr>
                <w:b w:val="0"/>
                <w:color w:val="auto"/>
                <w:sz w:val="18"/>
              </w:rPr>
              <w:t>cluster  schools</w:t>
            </w:r>
            <w:proofErr w:type="gramEnd"/>
            <w:r w:rsidRPr="00EA76EA">
              <w:rPr>
                <w:b w:val="0"/>
                <w:color w:val="auto"/>
                <w:sz w:val="18"/>
              </w:rPr>
              <w:t xml:space="preserve"> meetings. This committee will build on the work undertaken previously through the Wellbeing and Relationship and Sexuality Education program that was dev</w:t>
            </w:r>
            <w:r w:rsidRPr="00EA76EA">
              <w:rPr>
                <w:b w:val="0"/>
                <w:color w:val="auto"/>
                <w:sz w:val="18"/>
              </w:rPr>
              <w:t>eloped. We continued to implement a School Wide Positive Behaviour Support program and Positive Behaviour Support Plans across the school. This program focused on creating a school culture that promotes positive behaviour and supporting students.</w:t>
            </w:r>
          </w:p>
          <w:p w14:paraId="3EA885D8" w14:textId="77777777" w:rsidR="00EF56FD" w:rsidRPr="00EA76EA" w:rsidRDefault="00EF56FD" w:rsidP="00994A0F">
            <w:pPr>
              <w:pStyle w:val="Heading3"/>
              <w:spacing w:before="0" w:after="0"/>
              <w:rPr>
                <w:b w:val="0"/>
                <w:color w:val="auto"/>
                <w:sz w:val="18"/>
              </w:rPr>
            </w:pPr>
            <w:r w:rsidRPr="00EA76EA">
              <w:rPr>
                <w:b w:val="0"/>
                <w:color w:val="auto"/>
                <w:sz w:val="18"/>
              </w:rPr>
              <w:t xml:space="preserve">A highlight of 2023 was the employment of an </w:t>
            </w:r>
            <w:r w:rsidRPr="00EA76EA">
              <w:rPr>
                <w:b w:val="0"/>
                <w:color w:val="auto"/>
                <w:sz w:val="18"/>
              </w:rPr>
              <w:t>experienced Speech Pathologist (who is currently undertaking her doctorate in Mental Health in teenagers with Cerebral Palsy through the Royal Childrens Hospital Murdoch Institute) under the DET Mental Health Practitioner Initiative.  She worked mainly with Senior students on enhancing voice and agency, and on developing an understanding of what the new school values mean to students at Glenroy Specialist School. We recognize the importance of student voice and agency in promoting wellbeing.</w:t>
            </w:r>
          </w:p>
          <w:p w14:paraId="622380EA" w14:textId="77777777" w:rsidR="00EF56FD" w:rsidRPr="00EA76EA" w:rsidRDefault="00EF56FD" w:rsidP="00994A0F">
            <w:pPr>
              <w:pStyle w:val="Heading3"/>
              <w:spacing w:before="0" w:after="0"/>
              <w:rPr>
                <w:b w:val="0"/>
                <w:color w:val="auto"/>
                <w:sz w:val="18"/>
              </w:rPr>
            </w:pPr>
            <w:r w:rsidRPr="00EA76EA">
              <w:rPr>
                <w:b w:val="0"/>
                <w:color w:val="auto"/>
                <w:sz w:val="18"/>
              </w:rPr>
              <w:t xml:space="preserve">Parent engagement and building stronger links between the school and families continued to be a priority. Family morning teas and information sessions were held each term. These provided families the opportunity to mix and mingle in a relaxed and informal way.  Each sub school hosted a parent focused activity each term that was aimed at engaging </w:t>
            </w:r>
            <w:proofErr w:type="gramStart"/>
            <w:r w:rsidRPr="00EA76EA">
              <w:rPr>
                <w:b w:val="0"/>
                <w:color w:val="auto"/>
                <w:sz w:val="18"/>
              </w:rPr>
              <w:t>families  with</w:t>
            </w:r>
            <w:proofErr w:type="gramEnd"/>
            <w:r w:rsidRPr="00EA76EA">
              <w:rPr>
                <w:b w:val="0"/>
                <w:color w:val="auto"/>
                <w:sz w:val="18"/>
              </w:rPr>
              <w:t xml:space="preserve"> their child’s learning.</w:t>
            </w:r>
          </w:p>
          <w:p w14:paraId="07157BDC" w14:textId="77777777" w:rsidR="00EF56FD" w:rsidRPr="00EA76EA" w:rsidRDefault="00EF56FD" w:rsidP="00994A0F">
            <w:pPr>
              <w:pStyle w:val="Heading3"/>
              <w:spacing w:before="0" w:after="0"/>
              <w:rPr>
                <w:b w:val="0"/>
                <w:color w:val="auto"/>
                <w:sz w:val="18"/>
              </w:rPr>
            </w:pPr>
            <w:proofErr w:type="gramStart"/>
            <w:r w:rsidRPr="00EA76EA">
              <w:rPr>
                <w:b w:val="0"/>
                <w:color w:val="auto"/>
                <w:sz w:val="18"/>
              </w:rPr>
              <w:t>A number of</w:t>
            </w:r>
            <w:proofErr w:type="gramEnd"/>
            <w:r w:rsidRPr="00EA76EA">
              <w:rPr>
                <w:b w:val="0"/>
                <w:color w:val="auto"/>
                <w:sz w:val="18"/>
              </w:rPr>
              <w:t xml:space="preserve"> whole school events were organised to encourage staff, students and families to build links with each other and the school. Go-Vember was held with all students participating in </w:t>
            </w:r>
            <w:proofErr w:type="gramStart"/>
            <w:r w:rsidRPr="00EA76EA">
              <w:rPr>
                <w:b w:val="0"/>
                <w:color w:val="auto"/>
                <w:sz w:val="18"/>
              </w:rPr>
              <w:t>a number of</w:t>
            </w:r>
            <w:proofErr w:type="gramEnd"/>
            <w:r w:rsidRPr="00EA76EA">
              <w:rPr>
                <w:b w:val="0"/>
                <w:color w:val="auto"/>
                <w:sz w:val="18"/>
              </w:rPr>
              <w:t xml:space="preserve"> activities across the week. This culminated in a Family Fun night where families had the opportunity to participate in the activities their child had completed that week.  These initiatives helped build a sense of community and belonging among our students and their families.</w:t>
            </w:r>
          </w:p>
          <w:p w14:paraId="5E3D5B25" w14:textId="77777777" w:rsidR="00EF56FD" w:rsidRPr="00EA76EA" w:rsidRDefault="00EF56FD" w:rsidP="00994A0F">
            <w:pPr>
              <w:pStyle w:val="Heading3"/>
              <w:spacing w:before="0" w:after="0"/>
              <w:rPr>
                <w:b w:val="0"/>
                <w:color w:val="auto"/>
                <w:sz w:val="18"/>
              </w:rPr>
            </w:pPr>
            <w:r w:rsidRPr="00EA76EA">
              <w:rPr>
                <w:b w:val="0"/>
                <w:color w:val="auto"/>
                <w:sz w:val="18"/>
              </w:rPr>
              <w:t>Overall, our school's commitment to student wellbeing has been a key focus throughout 2023.  We recognize that promoting wellbeing is an ongoing process that aligns with FISO 2.0, and we are committed to continuing to prioritize it in all areas of our school community. By focusing on student wellbeing, we believe that we are not only supporting academic success, but also fostering healthy, happy, and engaged individuals who will thrive.</w:t>
            </w:r>
          </w:p>
          <w:p w14:paraId="72DE8B6E" w14:textId="77777777" w:rsidR="00EF56FD" w:rsidRPr="00EA76EA" w:rsidRDefault="00EF56FD" w:rsidP="00994A0F">
            <w:pPr>
              <w:pStyle w:val="Heading3"/>
              <w:spacing w:before="0" w:after="0"/>
              <w:rPr>
                <w:b w:val="0"/>
                <w:color w:val="auto"/>
                <w:sz w:val="18"/>
                <w:lang w:val="en-AU"/>
              </w:rPr>
            </w:pPr>
          </w:p>
        </w:tc>
      </w:tr>
      <w:tr w:rsidR="00295443" w14:paraId="11D56F89" w14:textId="77777777" w:rsidTr="00A53F4D">
        <w:trPr>
          <w:trHeight w:val="15"/>
        </w:trPr>
        <w:tc>
          <w:tcPr>
            <w:tcW w:w="10774" w:type="dxa"/>
            <w:shd w:val="clear" w:color="auto" w:fill="auto"/>
          </w:tcPr>
          <w:p w14:paraId="070CD1B3" w14:textId="77777777" w:rsidR="00EF56FD" w:rsidRPr="00EA76EA" w:rsidRDefault="00EF56FD" w:rsidP="00994A0F">
            <w:pPr>
              <w:pStyle w:val="Heading3"/>
              <w:spacing w:before="0" w:after="0"/>
              <w:rPr>
                <w:b w:val="0"/>
                <w:szCs w:val="20"/>
                <w:lang w:val="en-AU"/>
              </w:rPr>
            </w:pPr>
            <w:r w:rsidRPr="00EA76EA">
              <w:rPr>
                <w:bCs/>
                <w:color w:val="C00000"/>
                <w:lang w:val="en-AU"/>
              </w:rPr>
              <w:t>Engagement</w:t>
            </w:r>
          </w:p>
        </w:tc>
      </w:tr>
      <w:tr w:rsidR="00295443" w14:paraId="38CBA9B4" w14:textId="77777777" w:rsidTr="00A53F4D">
        <w:trPr>
          <w:trHeight w:val="15"/>
        </w:trPr>
        <w:tc>
          <w:tcPr>
            <w:tcW w:w="10774" w:type="dxa"/>
            <w:shd w:val="clear" w:color="auto" w:fill="auto"/>
          </w:tcPr>
          <w:p w14:paraId="44249464" w14:textId="77777777" w:rsidR="00EF56FD" w:rsidRPr="00EA76EA" w:rsidRDefault="00EF56FD" w:rsidP="00994A0F">
            <w:pPr>
              <w:pStyle w:val="Heading3"/>
              <w:spacing w:before="0" w:after="0"/>
              <w:jc w:val="both"/>
              <w:rPr>
                <w:b w:val="0"/>
                <w:color w:val="auto"/>
                <w:sz w:val="18"/>
              </w:rPr>
            </w:pPr>
            <w:r w:rsidRPr="00EA76EA">
              <w:rPr>
                <w:b w:val="0"/>
                <w:color w:val="auto"/>
                <w:sz w:val="18"/>
              </w:rPr>
              <w:t xml:space="preserve">Due to the medical vulnerability of our student population, and their complex medical needs, it was sometimes challenging for students to attend school, due to illness or hospitalisation. A </w:t>
            </w:r>
            <w:proofErr w:type="gramStart"/>
            <w:r w:rsidRPr="00EA76EA">
              <w:rPr>
                <w:b w:val="0"/>
                <w:color w:val="auto"/>
                <w:sz w:val="18"/>
              </w:rPr>
              <w:t>home based</w:t>
            </w:r>
            <w:proofErr w:type="gramEnd"/>
            <w:r w:rsidRPr="00EA76EA">
              <w:rPr>
                <w:b w:val="0"/>
                <w:color w:val="auto"/>
                <w:sz w:val="18"/>
              </w:rPr>
              <w:t xml:space="preserve"> learning program is offered to those families where a child is unable to attend due to a compromised medical condition.   Student absences in 2023 was relatively high with 65% of students having greater than 30 days absence per year. Understandably medical appointments and medical/illness account for </w:t>
            </w:r>
            <w:proofErr w:type="gramStart"/>
            <w:r w:rsidRPr="00EA76EA">
              <w:rPr>
                <w:b w:val="0"/>
                <w:color w:val="auto"/>
                <w:sz w:val="18"/>
              </w:rPr>
              <w:t>the majority of</w:t>
            </w:r>
            <w:proofErr w:type="gramEnd"/>
            <w:r w:rsidRPr="00EA76EA">
              <w:rPr>
                <w:b w:val="0"/>
                <w:color w:val="auto"/>
                <w:sz w:val="18"/>
              </w:rPr>
              <w:t xml:space="preserve"> reasons parents provide for their child’s absence. 2023 Student absence data is </w:t>
            </w:r>
            <w:proofErr w:type="gramStart"/>
            <w:r w:rsidRPr="00EA76EA">
              <w:rPr>
                <w:b w:val="0"/>
                <w:color w:val="auto"/>
                <w:sz w:val="18"/>
              </w:rPr>
              <w:t>similar to</w:t>
            </w:r>
            <w:proofErr w:type="gramEnd"/>
            <w:r w:rsidRPr="00EA76EA">
              <w:rPr>
                <w:b w:val="0"/>
                <w:color w:val="auto"/>
                <w:sz w:val="18"/>
              </w:rPr>
              <w:t xml:space="preserve"> 2022 data.</w:t>
            </w:r>
          </w:p>
          <w:p w14:paraId="4A5D8DF4" w14:textId="77777777" w:rsidR="00EF56FD" w:rsidRPr="00EA76EA" w:rsidRDefault="00EF56FD" w:rsidP="00994A0F">
            <w:pPr>
              <w:pStyle w:val="Heading3"/>
              <w:spacing w:before="0" w:after="0"/>
              <w:jc w:val="both"/>
              <w:rPr>
                <w:b w:val="0"/>
                <w:color w:val="auto"/>
                <w:sz w:val="18"/>
              </w:rPr>
            </w:pPr>
            <w:r w:rsidRPr="00EA76EA">
              <w:rPr>
                <w:b w:val="0"/>
                <w:color w:val="auto"/>
                <w:sz w:val="18"/>
              </w:rPr>
              <w:t>The school’s commitment to promoting engagement among our students has been a key focus throughout 2023. We believe that by providing our students with a range of learning and extracurricular opportunities, we are fostering an environment that promotes curiosity, creativity, and a love of learning.</w:t>
            </w:r>
          </w:p>
          <w:p w14:paraId="021BAA61" w14:textId="77777777" w:rsidR="00EF56FD" w:rsidRPr="00EA76EA" w:rsidRDefault="00EF56FD" w:rsidP="00994A0F">
            <w:pPr>
              <w:pStyle w:val="Heading3"/>
              <w:spacing w:before="0" w:after="0"/>
              <w:jc w:val="both"/>
              <w:rPr>
                <w:b w:val="0"/>
                <w:color w:val="auto"/>
                <w:sz w:val="18"/>
              </w:rPr>
            </w:pPr>
            <w:r w:rsidRPr="00EA76EA">
              <w:rPr>
                <w:b w:val="0"/>
                <w:color w:val="auto"/>
                <w:sz w:val="18"/>
              </w:rPr>
              <w:t>Partnerships and links with external agencies were created and strengthened throughout 2023. An Expo of external service providers was held in March 2023 to enable our families with students in their last two years of schooling to look at options available once they leave school. The Expo provided families with the opportunity to compare post school placement options and to discuss the specific needs of their child with a variety of services all in the same location.</w:t>
            </w:r>
          </w:p>
          <w:p w14:paraId="7A63EB74" w14:textId="77777777" w:rsidR="00EF56FD" w:rsidRPr="00EA76EA" w:rsidRDefault="00EF56FD" w:rsidP="00994A0F">
            <w:pPr>
              <w:pStyle w:val="Heading3"/>
              <w:spacing w:before="0" w:after="0"/>
              <w:jc w:val="both"/>
              <w:rPr>
                <w:b w:val="0"/>
                <w:color w:val="auto"/>
                <w:sz w:val="18"/>
              </w:rPr>
            </w:pPr>
            <w:r w:rsidRPr="00EA76EA">
              <w:rPr>
                <w:b w:val="0"/>
                <w:color w:val="auto"/>
                <w:sz w:val="18"/>
              </w:rPr>
              <w:t xml:space="preserve">Partnerships with </w:t>
            </w:r>
            <w:proofErr w:type="gramStart"/>
            <w:r w:rsidRPr="00EA76EA">
              <w:rPr>
                <w:b w:val="0"/>
                <w:color w:val="auto"/>
                <w:sz w:val="18"/>
              </w:rPr>
              <w:t>Polyglot  continued</w:t>
            </w:r>
            <w:proofErr w:type="gramEnd"/>
            <w:r w:rsidRPr="00EA76EA">
              <w:rPr>
                <w:b w:val="0"/>
                <w:color w:val="auto"/>
                <w:sz w:val="18"/>
              </w:rPr>
              <w:t xml:space="preserve"> in 2023 that allowed all students across the school to participate in activities that engaged and challenged their learning. The school worked closely with </w:t>
            </w:r>
            <w:proofErr w:type="gramStart"/>
            <w:r w:rsidRPr="00EA76EA">
              <w:rPr>
                <w:b w:val="0"/>
                <w:color w:val="auto"/>
                <w:sz w:val="18"/>
              </w:rPr>
              <w:t>Polyglot  to</w:t>
            </w:r>
            <w:proofErr w:type="gramEnd"/>
            <w:r w:rsidRPr="00EA76EA">
              <w:rPr>
                <w:b w:val="0"/>
                <w:color w:val="auto"/>
                <w:sz w:val="18"/>
              </w:rPr>
              <w:t xml:space="preserve"> trial an interactive performance that allowed people with </w:t>
            </w:r>
            <w:r w:rsidRPr="00EA76EA">
              <w:rPr>
                <w:b w:val="0"/>
                <w:color w:val="auto"/>
                <w:sz w:val="18"/>
              </w:rPr>
              <w:lastRenderedPageBreak/>
              <w:t>disabilities to participate in the arts utilising all their senses. This interactive performance is now touring Australia. A dance partnership was established with Sussex Street neighbourhood house that allowed out senior students to participate in a dance program.</w:t>
            </w:r>
            <w:r w:rsidRPr="00EA76EA">
              <w:rPr>
                <w:b w:val="0"/>
                <w:color w:val="auto"/>
                <w:sz w:val="18"/>
              </w:rPr>
              <w:t xml:space="preserve"> Outside sporting groups provided modified sporting programs at both outside venues and within the school environment to engage the students.</w:t>
            </w:r>
          </w:p>
          <w:p w14:paraId="664CC564" w14:textId="77777777" w:rsidR="00EF56FD" w:rsidRPr="00EA76EA" w:rsidRDefault="00EF56FD" w:rsidP="00994A0F">
            <w:pPr>
              <w:pStyle w:val="Heading3"/>
              <w:spacing w:before="0" w:after="0"/>
              <w:jc w:val="both"/>
              <w:rPr>
                <w:b w:val="0"/>
                <w:color w:val="auto"/>
                <w:sz w:val="18"/>
              </w:rPr>
            </w:pPr>
            <w:r w:rsidRPr="00EA76EA">
              <w:rPr>
                <w:b w:val="0"/>
                <w:color w:val="auto"/>
                <w:sz w:val="18"/>
              </w:rPr>
              <w:t>2023 saw an increase in the number of incursions and excursions across all sub-schools. These experiences were designed to stimulate curiosity, creativity, and engagement among our students related to the topics being covered within the sub-schools.</w:t>
            </w:r>
          </w:p>
          <w:p w14:paraId="2A3D6EA9" w14:textId="77777777" w:rsidR="00EF56FD" w:rsidRPr="00EA76EA" w:rsidRDefault="00EF56FD" w:rsidP="00994A0F">
            <w:pPr>
              <w:pStyle w:val="Heading3"/>
              <w:spacing w:before="0" w:after="0"/>
              <w:jc w:val="both"/>
              <w:rPr>
                <w:b w:val="0"/>
                <w:color w:val="auto"/>
                <w:sz w:val="18"/>
              </w:rPr>
            </w:pPr>
            <w:r w:rsidRPr="00EA76EA">
              <w:rPr>
                <w:b w:val="0"/>
                <w:color w:val="auto"/>
                <w:sz w:val="18"/>
              </w:rPr>
              <w:t>We will continue to prioritize engagement in all areas of our school community, recognizing the important role it plays in supporting academic success and personal growth. Links with external agencies will also be strengthened.</w:t>
            </w:r>
          </w:p>
          <w:p w14:paraId="11CB215D" w14:textId="77777777" w:rsidR="00EF56FD" w:rsidRPr="00EA76EA" w:rsidRDefault="00EF56FD" w:rsidP="00994A0F">
            <w:pPr>
              <w:pStyle w:val="Heading3"/>
              <w:spacing w:before="0" w:after="0"/>
              <w:rPr>
                <w:b w:val="0"/>
                <w:color w:val="auto"/>
                <w:sz w:val="18"/>
                <w:lang w:val="en-AU"/>
              </w:rPr>
            </w:pPr>
          </w:p>
        </w:tc>
      </w:tr>
      <w:tr w:rsidR="00295443" w14:paraId="6AABF6B3" w14:textId="77777777" w:rsidTr="00A53F4D">
        <w:trPr>
          <w:trHeight w:val="15"/>
        </w:trPr>
        <w:tc>
          <w:tcPr>
            <w:tcW w:w="10774" w:type="dxa"/>
            <w:shd w:val="clear" w:color="auto" w:fill="auto"/>
          </w:tcPr>
          <w:p w14:paraId="783A2BB7" w14:textId="77777777" w:rsidR="00EF56FD" w:rsidRPr="00EA76EA" w:rsidRDefault="00EF56FD" w:rsidP="00F748EB">
            <w:pPr>
              <w:pStyle w:val="Style1"/>
              <w:spacing w:before="0"/>
              <w:jc w:val="both"/>
              <w:rPr>
                <w:szCs w:val="24"/>
                <w:lang w:val="en-AU"/>
              </w:rPr>
            </w:pPr>
            <w:r w:rsidRPr="00EA76EA">
              <w:rPr>
                <w:rFonts w:cs="Times New Roman"/>
                <w:b/>
                <w:lang w:val="en-AU"/>
              </w:rPr>
              <w:lastRenderedPageBreak/>
              <w:t>Financial performance</w:t>
            </w:r>
          </w:p>
        </w:tc>
      </w:tr>
      <w:tr w:rsidR="00295443" w14:paraId="7CB5DF21" w14:textId="77777777" w:rsidTr="00A53F4D">
        <w:trPr>
          <w:trHeight w:val="15"/>
        </w:trPr>
        <w:tc>
          <w:tcPr>
            <w:tcW w:w="10774" w:type="dxa"/>
            <w:shd w:val="clear" w:color="auto" w:fill="auto"/>
          </w:tcPr>
          <w:p w14:paraId="62242E88" w14:textId="77777777" w:rsidR="00EF56FD" w:rsidRPr="00EA76EA" w:rsidRDefault="00EF56FD" w:rsidP="00994A0F">
            <w:pPr>
              <w:pStyle w:val="Heading3"/>
              <w:spacing w:before="0" w:after="0"/>
              <w:jc w:val="both"/>
              <w:rPr>
                <w:b w:val="0"/>
                <w:color w:val="auto"/>
                <w:sz w:val="18"/>
              </w:rPr>
            </w:pPr>
            <w:r w:rsidRPr="00EA76EA">
              <w:rPr>
                <w:b w:val="0"/>
                <w:color w:val="auto"/>
                <w:sz w:val="18"/>
              </w:rPr>
              <w:t xml:space="preserve">Glenroy Specialist School has continued to operate with strong financial management based on careful Human Resources management and detailed program budget development and monitoring. These processes have </w:t>
            </w:r>
            <w:r w:rsidRPr="00EA76EA">
              <w:rPr>
                <w:b w:val="0"/>
                <w:color w:val="auto"/>
                <w:sz w:val="18"/>
              </w:rPr>
              <w:t xml:space="preserve">underpinned the school ending the 2023 year in a financial surplus. Approximately $11.3 million dollars of the Student Resource Package was used for staffing. The school received Equity Funding of $ 26,589 and Student Wellbeing boost funding of $15,000.  These were used to contribute to the running of the Home-Based Learning Support Program and the increase in staffing to support Key initiatives. The school received an $8,000 donation from RSL to support community access programs and grants from the DET to </w:t>
            </w:r>
            <w:r w:rsidRPr="00EA76EA">
              <w:rPr>
                <w:b w:val="0"/>
                <w:color w:val="auto"/>
                <w:sz w:val="18"/>
              </w:rPr>
              <w:t>support school maintenance and student wellbeing. New students enrolled in the school had increasingly complex levels of multiple disabilities which necessitated the employment of additional support staff to manage the health and personal care needs of the students whilst maintaining good occupational health and safety for the staff.</w:t>
            </w:r>
          </w:p>
          <w:p w14:paraId="2119FAC3" w14:textId="77777777" w:rsidR="00EF56FD" w:rsidRPr="00EA76EA" w:rsidRDefault="00EF56FD" w:rsidP="00994A0F">
            <w:pPr>
              <w:pStyle w:val="Heading3"/>
              <w:spacing w:before="0" w:after="0"/>
              <w:rPr>
                <w:b w:val="0"/>
                <w:color w:val="auto"/>
                <w:sz w:val="18"/>
                <w:lang w:val="en-AU"/>
              </w:rPr>
            </w:pPr>
          </w:p>
        </w:tc>
      </w:tr>
      <w:tr w:rsidR="00295443" w14:paraId="7217C172" w14:textId="77777777" w:rsidTr="00A53F4D">
        <w:trPr>
          <w:trHeight w:val="15"/>
        </w:trPr>
        <w:tc>
          <w:tcPr>
            <w:tcW w:w="10774" w:type="dxa"/>
            <w:shd w:val="clear" w:color="auto" w:fill="auto"/>
          </w:tcPr>
          <w:p w14:paraId="683E0273" w14:textId="77777777" w:rsidR="00EF56FD" w:rsidRPr="00EA76EA" w:rsidRDefault="00EF56FD" w:rsidP="00C71E7A">
            <w:pPr>
              <w:pStyle w:val="Heading3"/>
              <w:spacing w:before="0" w:after="0"/>
              <w:rPr>
                <w:b w:val="0"/>
                <w:sz w:val="18"/>
                <w:lang w:val="en-AU"/>
              </w:rPr>
            </w:pPr>
          </w:p>
          <w:p w14:paraId="2DF0F395" w14:textId="5F920487" w:rsidR="00295443" w:rsidRDefault="00EF56FD">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7" w:history="1">
              <w:r>
                <w:rPr>
                  <w:rFonts w:eastAsia="Arial"/>
                  <w:b/>
                  <w:bCs/>
                  <w:color w:val="0000EE"/>
                  <w:sz w:val="22"/>
                  <w:szCs w:val="22"/>
                  <w:u w:val="single"/>
                </w:rPr>
                <w:t>www.glenroy.ss@education.vic.gov.au</w:t>
              </w:r>
            </w:hyperlink>
          </w:p>
          <w:p w14:paraId="0FBD73FF" w14:textId="77777777" w:rsidR="00295443" w:rsidRDefault="00295443"/>
        </w:tc>
      </w:tr>
    </w:tbl>
    <w:p w14:paraId="14651B04" w14:textId="77777777" w:rsidR="00EF56FD" w:rsidRPr="00EA76EA" w:rsidRDefault="00EF56FD" w:rsidP="00F73E5D">
      <w:pPr>
        <w:ind w:right="-632"/>
        <w:rPr>
          <w:b/>
          <w:color w:val="AF272F"/>
          <w:sz w:val="36"/>
          <w:szCs w:val="44"/>
          <w:lang w:val="en-AU"/>
        </w:rPr>
        <w:sectPr w:rsidR="005E684F" w:rsidRPr="00EA76EA" w:rsidSect="0095453E">
          <w:headerReference w:type="default" r:id="rId28"/>
          <w:footerReference w:type="default" r:id="rId29"/>
          <w:headerReference w:type="first" r:id="rId30"/>
          <w:pgSz w:w="11906" w:h="16838" w:code="9"/>
          <w:pgMar w:top="709" w:right="1134" w:bottom="1701" w:left="1134" w:header="0" w:footer="709" w:gutter="0"/>
          <w:cols w:space="397"/>
          <w:docGrid w:linePitch="360"/>
        </w:sectPr>
      </w:pPr>
    </w:p>
    <w:p w14:paraId="05CA31D0" w14:textId="77777777" w:rsidR="00EF56FD" w:rsidRDefault="00EF56FD" w:rsidP="00B637FF">
      <w:pPr>
        <w:pStyle w:val="Title"/>
      </w:pPr>
      <w:r>
        <w:lastRenderedPageBreak/>
        <w:t>Performance Summary</w:t>
      </w:r>
    </w:p>
    <w:p w14:paraId="38E5A55F" w14:textId="77777777" w:rsidR="00EF56FD" w:rsidRDefault="00EF56FD" w:rsidP="005D3FE8">
      <w:pPr>
        <w:pStyle w:val="ESBodyText0"/>
      </w:pPr>
      <w:r>
        <w:t xml:space="preserve">The Performance Summary for government schools provides an overview of how this school is </w:t>
      </w:r>
      <w:r>
        <w:t>contributing to the objectives of the Education State and how it compares to other Victorian government schools.</w:t>
      </w:r>
    </w:p>
    <w:p w14:paraId="5D05F8D0" w14:textId="77777777" w:rsidR="00EF56FD" w:rsidRDefault="00EF56FD" w:rsidP="005D3FE8">
      <w:pPr>
        <w:pStyle w:val="ESBodyText0"/>
      </w:pPr>
      <w: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49273275" w14:textId="77777777" w:rsidR="00EF56FD" w:rsidRDefault="00EF56FD" w:rsidP="005D3FE8">
      <w:pPr>
        <w:pStyle w:val="ESBodyText0"/>
      </w:pPr>
      <w:r>
        <w:t>Refe</w:t>
      </w:r>
      <w:r w:rsidRPr="00E44286">
        <w:t>r to the ‘How to read the Annual Report’ sect</w:t>
      </w:r>
      <w:r>
        <w:t>ion for help on how to interpret this report.</w:t>
      </w:r>
    </w:p>
    <w:p w14:paraId="7FC785BF" w14:textId="77777777" w:rsidR="00EF56FD" w:rsidRDefault="00EF56FD" w:rsidP="00B637FF">
      <w:pPr>
        <w:pStyle w:val="Style10"/>
      </w:pPr>
      <w:r>
        <w:t>SCHOOL PROFILE</w:t>
      </w:r>
    </w:p>
    <w:p w14:paraId="2462E906" w14:textId="77777777" w:rsidR="00EF56FD" w:rsidRDefault="00EF56FD" w:rsidP="00B637FF">
      <w:pPr>
        <w:pStyle w:val="ESHeading30"/>
      </w:pPr>
      <w:r>
        <w:t>Enrolment Profile</w:t>
      </w:r>
    </w:p>
    <w:p w14:paraId="01924FBE" w14:textId="77777777" w:rsidR="00EF56FD" w:rsidRDefault="00EF56FD">
      <w:pPr>
        <w:pStyle w:val="ESBodyText0"/>
      </w:pPr>
      <w:r>
        <w:t xml:space="preserve">A total </w:t>
      </w:r>
      <w:proofErr w:type="gramStart"/>
      <w:r>
        <w:t>of  141</w:t>
      </w:r>
      <w:proofErr w:type="gramEnd"/>
      <w:r>
        <w:t xml:space="preserve"> students were enrolled at this school in 2023,   58 female and   83 male.</w:t>
      </w:r>
    </w:p>
    <w:p w14:paraId="6509E737" w14:textId="77777777" w:rsidR="00EF56FD" w:rsidRDefault="00EF56FD">
      <w:pPr>
        <w:pStyle w:val="ESBodyText0"/>
      </w:pPr>
      <w:r>
        <w:t>28</w:t>
      </w:r>
      <w:r>
        <w:t xml:space="preserve"> percent of students had English as an additional language and </w:t>
      </w:r>
      <w:r>
        <w:t>NDP</w:t>
      </w:r>
      <w:r>
        <w:t xml:space="preserve"> percent were Aboriginal or Torres Strait Islander.</w:t>
      </w:r>
    </w:p>
    <w:p w14:paraId="47F815DA" w14:textId="77777777" w:rsidR="00EF56FD" w:rsidRPr="00CC37BA" w:rsidRDefault="00EF56FD" w:rsidP="00B637FF">
      <w:pPr>
        <w:pStyle w:val="ESHeading30"/>
        <w:rPr>
          <w:color w:val="auto"/>
        </w:rPr>
      </w:pPr>
      <w:r>
        <w:t xml:space="preserve">Overall Socio-Economic </w:t>
      </w:r>
      <w:r w:rsidRPr="00CC37BA">
        <w:rPr>
          <w:color w:val="auto"/>
        </w:rPr>
        <w:t>Profile</w:t>
      </w:r>
    </w:p>
    <w:p w14:paraId="136B2E94" w14:textId="77777777" w:rsidR="00EF56FD" w:rsidRPr="00CC37BA" w:rsidRDefault="00EF56FD">
      <w:pPr>
        <w:pStyle w:val="ESBodyText0"/>
      </w:pPr>
      <w:r w:rsidRPr="00CC37BA">
        <w:t>The overall school’s socio-economic profile is based on the school's Student Family Occupation and Education index (SFOE).</w:t>
      </w:r>
    </w:p>
    <w:p w14:paraId="11E6AA34" w14:textId="77777777" w:rsidR="00EF56FD" w:rsidRPr="00CC37BA" w:rsidRDefault="00EF56FD">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591C367A" w14:textId="77777777" w:rsidR="00EF56FD" w:rsidRPr="00CC37BA" w:rsidRDefault="00EF56FD">
      <w:pPr>
        <w:pStyle w:val="ESBodyText0"/>
      </w:pPr>
      <w:r w:rsidRPr="00CC37BA">
        <w:t xml:space="preserve">This school’s </w:t>
      </w:r>
      <w:r>
        <w:t>SFOE</w:t>
      </w:r>
      <w:r w:rsidRPr="00CC37BA">
        <w:t xml:space="preserve"> band value </w:t>
      </w:r>
      <w:proofErr w:type="gramStart"/>
      <w:r w:rsidRPr="00CC37BA">
        <w:t>is:</w:t>
      </w:r>
      <w:proofErr w:type="gramEnd"/>
      <w:r w:rsidRPr="00CC37BA">
        <w:t xml:space="preserve"> </w:t>
      </w:r>
      <w:r>
        <w:t>Medium</w:t>
      </w:r>
    </w:p>
    <w:p w14:paraId="2A62B8E5" w14:textId="77777777" w:rsidR="00EF56FD" w:rsidRPr="00CC37BA" w:rsidRDefault="00EF56FD" w:rsidP="00B637FF">
      <w:pPr>
        <w:pStyle w:val="ESHeading30"/>
        <w:rPr>
          <w:color w:val="auto"/>
        </w:rPr>
      </w:pPr>
      <w:r w:rsidRPr="00CC37BA">
        <w:rPr>
          <w:color w:val="auto"/>
        </w:rPr>
        <w:t>Parent Satisfaction Summary</w:t>
      </w:r>
    </w:p>
    <w:p w14:paraId="285BE31D" w14:textId="77777777" w:rsidR="00EF56FD" w:rsidRDefault="00EF56FD" w:rsidP="005C4286">
      <w:pPr>
        <w:pStyle w:val="ESBodyText0"/>
      </w:pPr>
      <w:r>
        <w:t>The percent</w:t>
      </w:r>
      <w:r>
        <w:t>age</w:t>
      </w:r>
      <w:r>
        <w:t xml:space="preserve"> endorsement by parents on their </w:t>
      </w:r>
      <w:r w:rsidRPr="00F574C1">
        <w:t>General School Satisfaction, as reported in the annual Parent/Caregiver/Guardian Opinion Survey</w:t>
      </w:r>
      <w:r>
        <w:t>.</w:t>
      </w:r>
    </w:p>
    <w:p w14:paraId="682492AB" w14:textId="77777777" w:rsidR="00EF56FD" w:rsidRDefault="00EF56FD" w:rsidP="005C4286">
      <w:pPr>
        <w:pStyle w:val="ESBodyText0"/>
      </w:pPr>
      <w:r>
        <w:rPr>
          <w:noProof/>
        </w:rPr>
        <w:drawing>
          <wp:anchor distT="0" distB="0" distL="114300" distR="114300" simplePos="0" relativeHeight="251664384" behindDoc="0" locked="0" layoutInCell="1" allowOverlap="1" wp14:anchorId="4534DE50" wp14:editId="1841837F">
            <wp:simplePos x="0" y="0"/>
            <wp:positionH relativeFrom="column">
              <wp:posOffset>3194038</wp:posOffset>
            </wp:positionH>
            <wp:positionV relativeFrom="paragraph">
              <wp:posOffset>493574</wp:posOffset>
            </wp:positionV>
            <wp:extent cx="3277235" cy="1526875"/>
            <wp:effectExtent l="0" t="0" r="0" b="0"/>
            <wp:wrapNone/>
            <wp:docPr id="32431738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t>Percent</w:t>
      </w:r>
      <w:r>
        <w:t>age</w:t>
      </w:r>
      <w:r>
        <w:t xml:space="preserve">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295443" w14:paraId="36049D0A" w14:textId="77777777" w:rsidTr="004071E1">
        <w:trPr>
          <w:trHeight w:hRule="exact" w:val="567"/>
        </w:trPr>
        <w:tc>
          <w:tcPr>
            <w:tcW w:w="3256" w:type="dxa"/>
            <w:vAlign w:val="bottom"/>
          </w:tcPr>
          <w:p w14:paraId="5E1BA0BB" w14:textId="77777777" w:rsidR="00EF56FD" w:rsidRPr="00DF5E8D" w:rsidRDefault="00EF56FD" w:rsidP="004071E1">
            <w:pPr>
              <w:pStyle w:val="ESBodyText0"/>
              <w:rPr>
                <w:b/>
                <w:bCs/>
              </w:rPr>
            </w:pPr>
            <w:r w:rsidRPr="00DF5E8D">
              <w:rPr>
                <w:b/>
                <w:bCs/>
              </w:rPr>
              <w:t xml:space="preserve">Parent </w:t>
            </w:r>
            <w:r w:rsidRPr="00DF5E8D">
              <w:rPr>
                <w:b/>
                <w:bCs/>
              </w:rPr>
              <w:t>Satisfaction</w:t>
            </w:r>
          </w:p>
        </w:tc>
        <w:tc>
          <w:tcPr>
            <w:tcW w:w="1139" w:type="dxa"/>
            <w:vAlign w:val="bottom"/>
          </w:tcPr>
          <w:p w14:paraId="64F21460" w14:textId="77777777" w:rsidR="00EF56FD" w:rsidRPr="00E346A0" w:rsidRDefault="00EF56FD" w:rsidP="004071E1">
            <w:pPr>
              <w:pStyle w:val="ESBodyText0"/>
              <w:jc w:val="center"/>
              <w:rPr>
                <w:b/>
                <w:bCs/>
              </w:rPr>
            </w:pPr>
            <w:r w:rsidRPr="001B1C12">
              <w:t>Latest year (202</w:t>
            </w:r>
            <w:r>
              <w:t>3</w:t>
            </w:r>
            <w:r w:rsidRPr="001B1C12">
              <w:t>)</w:t>
            </w:r>
          </w:p>
        </w:tc>
      </w:tr>
      <w:tr w:rsidR="00295443" w14:paraId="725623D1" w14:textId="77777777" w:rsidTr="004071E1">
        <w:trPr>
          <w:trHeight w:hRule="exact" w:val="680"/>
        </w:trPr>
        <w:tc>
          <w:tcPr>
            <w:tcW w:w="3256" w:type="dxa"/>
            <w:tcMar>
              <w:top w:w="57" w:type="dxa"/>
            </w:tcMar>
            <w:vAlign w:val="center"/>
          </w:tcPr>
          <w:p w14:paraId="6A094D44" w14:textId="77777777" w:rsidR="00EF56FD" w:rsidRDefault="00EF56FD" w:rsidP="004071E1">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01E6123B" w14:textId="77777777" w:rsidR="00EF56FD" w:rsidRDefault="00EF56FD" w:rsidP="004071E1">
            <w:pPr>
              <w:pStyle w:val="ESBodyText0"/>
              <w:jc w:val="center"/>
            </w:pPr>
            <w:r>
              <w:t>100.0%</w:t>
            </w:r>
          </w:p>
        </w:tc>
      </w:tr>
      <w:tr w:rsidR="00295443" w14:paraId="0E017CE0" w14:textId="77777777" w:rsidTr="004071E1">
        <w:trPr>
          <w:trHeight w:hRule="exact" w:val="680"/>
        </w:trPr>
        <w:tc>
          <w:tcPr>
            <w:tcW w:w="3256" w:type="dxa"/>
            <w:tcMar>
              <w:top w:w="57" w:type="dxa"/>
            </w:tcMar>
            <w:vAlign w:val="center"/>
          </w:tcPr>
          <w:p w14:paraId="6DA90695" w14:textId="77777777" w:rsidR="00EF56FD" w:rsidRDefault="00EF56FD" w:rsidP="004071E1">
            <w:pPr>
              <w:pStyle w:val="ESBodyText0"/>
            </w:pPr>
            <w:r>
              <w:t>State average</w:t>
            </w:r>
            <w:r>
              <w:t xml:space="preserve"> (specialist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86E6410" w14:textId="77777777" w:rsidR="00EF56FD" w:rsidRDefault="00EF56FD" w:rsidP="004071E1">
            <w:pPr>
              <w:pStyle w:val="ESBodyText0"/>
              <w:jc w:val="center"/>
            </w:pPr>
            <w:r>
              <w:t>84.6%</w:t>
            </w:r>
          </w:p>
        </w:tc>
      </w:tr>
    </w:tbl>
    <w:p w14:paraId="6A2066A7" w14:textId="77777777" w:rsidR="00EF56FD" w:rsidRDefault="00EF56FD">
      <w:pPr>
        <w:pStyle w:val="ESBodyText0"/>
        <w:spacing w:after="240"/>
      </w:pPr>
    </w:p>
    <w:p w14:paraId="780F073B" w14:textId="77777777" w:rsidR="00EF56FD" w:rsidRDefault="00EF56FD">
      <w:pPr>
        <w:pStyle w:val="ESBodyText0"/>
      </w:pPr>
    </w:p>
    <w:p w14:paraId="73955838" w14:textId="77777777" w:rsidR="00EF56FD" w:rsidRPr="00CC37BA" w:rsidRDefault="00EF56FD" w:rsidP="00B637FF">
      <w:pPr>
        <w:pStyle w:val="ESHeading30"/>
        <w:rPr>
          <w:color w:val="auto"/>
        </w:rPr>
      </w:pPr>
      <w:r>
        <w:t xml:space="preserve">School Staff </w:t>
      </w:r>
      <w:r w:rsidRPr="00CC37BA">
        <w:rPr>
          <w:color w:val="auto"/>
        </w:rPr>
        <w:t>Survey</w:t>
      </w:r>
    </w:p>
    <w:p w14:paraId="43664ADD" w14:textId="77777777" w:rsidR="00EF56FD" w:rsidRDefault="00EF56FD">
      <w:pPr>
        <w:pStyle w:val="ESBodyText0"/>
      </w:pPr>
      <w:r w:rsidRPr="00CC37BA">
        <w:t>The percent</w:t>
      </w:r>
      <w:r>
        <w:t>age</w:t>
      </w:r>
      <w:r w:rsidRPr="00CC37BA">
        <w:t xml:space="preserve"> endorsement by staff on </w:t>
      </w:r>
      <w:r>
        <w:t>School Climate, as reported in the annual School Staff Survey.</w:t>
      </w:r>
    </w:p>
    <w:p w14:paraId="4652D721" w14:textId="77777777" w:rsidR="00EF56FD" w:rsidRDefault="00EF56FD">
      <w:pPr>
        <w:pStyle w:val="ESBodyText0"/>
      </w:pPr>
      <w:r>
        <w:t>Percent</w:t>
      </w:r>
      <w:r>
        <w:t>age</w:t>
      </w:r>
      <w:r>
        <w:t xml:space="preserve"> endorsement indicates the percent of positive responses (agree or strongly agree) from staff who responded to the survey.</w:t>
      </w:r>
    </w:p>
    <w:p w14:paraId="7313D478" w14:textId="77777777" w:rsidR="00EF56FD" w:rsidRDefault="00EF56FD" w:rsidP="00DD3094">
      <w:pPr>
        <w:pStyle w:val="ESBodyText0"/>
        <w:spacing w:after="360"/>
      </w:pPr>
      <w:r>
        <w:rPr>
          <w:noProof/>
        </w:rPr>
        <w:drawing>
          <wp:anchor distT="0" distB="0" distL="114300" distR="114300" simplePos="0" relativeHeight="251663360" behindDoc="0" locked="0" layoutInCell="1" allowOverlap="1" wp14:anchorId="245E7036" wp14:editId="56038F9F">
            <wp:simplePos x="0" y="0"/>
            <wp:positionH relativeFrom="column">
              <wp:posOffset>3142280</wp:posOffset>
            </wp:positionH>
            <wp:positionV relativeFrom="paragraph">
              <wp:posOffset>431619</wp:posOffset>
            </wp:positionV>
            <wp:extent cx="3328035" cy="1638875"/>
            <wp:effectExtent l="0" t="0" r="5715" b="0"/>
            <wp:wrapNone/>
            <wp:docPr id="5152865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295443" w14:paraId="2A9C7BEF" w14:textId="77777777" w:rsidTr="004071E1">
        <w:trPr>
          <w:trHeight w:hRule="exact" w:val="567"/>
        </w:trPr>
        <w:tc>
          <w:tcPr>
            <w:tcW w:w="3256" w:type="dxa"/>
            <w:vAlign w:val="bottom"/>
          </w:tcPr>
          <w:p w14:paraId="5ACAE45F" w14:textId="77777777" w:rsidR="00EF56FD" w:rsidRPr="00DF5E8D" w:rsidRDefault="00EF56FD" w:rsidP="004071E1">
            <w:pPr>
              <w:pStyle w:val="ESBodyText0"/>
              <w:rPr>
                <w:b/>
                <w:bCs/>
              </w:rPr>
            </w:pPr>
            <w:r>
              <w:rPr>
                <w:b/>
                <w:bCs/>
              </w:rPr>
              <w:t>School Climate</w:t>
            </w:r>
          </w:p>
        </w:tc>
        <w:tc>
          <w:tcPr>
            <w:tcW w:w="1139" w:type="dxa"/>
            <w:vAlign w:val="bottom"/>
          </w:tcPr>
          <w:p w14:paraId="34A7F631" w14:textId="77777777" w:rsidR="00EF56FD" w:rsidRPr="00E346A0" w:rsidRDefault="00EF56FD" w:rsidP="004071E1">
            <w:pPr>
              <w:pStyle w:val="ESBodyText0"/>
              <w:jc w:val="center"/>
              <w:rPr>
                <w:b/>
                <w:bCs/>
              </w:rPr>
            </w:pPr>
            <w:r w:rsidRPr="001B1C12">
              <w:t>Latest year (202</w:t>
            </w:r>
            <w:r>
              <w:t>3</w:t>
            </w:r>
            <w:r w:rsidRPr="001B1C12">
              <w:t>)</w:t>
            </w:r>
          </w:p>
        </w:tc>
      </w:tr>
      <w:tr w:rsidR="00295443" w14:paraId="2C39C47A" w14:textId="77777777" w:rsidTr="004071E1">
        <w:trPr>
          <w:trHeight w:hRule="exact" w:val="680"/>
        </w:trPr>
        <w:tc>
          <w:tcPr>
            <w:tcW w:w="3256" w:type="dxa"/>
            <w:tcMar>
              <w:top w:w="57" w:type="dxa"/>
            </w:tcMar>
            <w:vAlign w:val="center"/>
          </w:tcPr>
          <w:p w14:paraId="504B5A43" w14:textId="77777777" w:rsidR="00EF56FD" w:rsidRDefault="00EF56FD" w:rsidP="004071E1">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75D29F64" w14:textId="77777777" w:rsidR="00EF56FD" w:rsidRDefault="00EF56FD" w:rsidP="004071E1">
            <w:pPr>
              <w:pStyle w:val="ESBodyText0"/>
              <w:jc w:val="center"/>
            </w:pPr>
            <w:r>
              <w:t>71.4%</w:t>
            </w:r>
          </w:p>
        </w:tc>
      </w:tr>
      <w:tr w:rsidR="00295443" w14:paraId="55FB5087" w14:textId="77777777" w:rsidTr="004071E1">
        <w:trPr>
          <w:trHeight w:hRule="exact" w:val="680"/>
        </w:trPr>
        <w:tc>
          <w:tcPr>
            <w:tcW w:w="3256" w:type="dxa"/>
            <w:tcMar>
              <w:top w:w="57" w:type="dxa"/>
            </w:tcMar>
            <w:vAlign w:val="center"/>
          </w:tcPr>
          <w:p w14:paraId="3F334D9E" w14:textId="77777777" w:rsidR="00EF56FD" w:rsidRDefault="00EF56FD" w:rsidP="004071E1">
            <w:pPr>
              <w:pStyle w:val="ESBodyText0"/>
            </w:pPr>
            <w:r>
              <w:t>State average</w:t>
            </w:r>
            <w:r>
              <w:t xml:space="preserve"> (specialist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E358350" w14:textId="77777777" w:rsidR="00EF56FD" w:rsidRDefault="00EF56FD" w:rsidP="004071E1">
            <w:pPr>
              <w:pStyle w:val="ESBodyText0"/>
              <w:jc w:val="center"/>
            </w:pPr>
            <w:r>
              <w:t>67.8%</w:t>
            </w:r>
          </w:p>
        </w:tc>
      </w:tr>
    </w:tbl>
    <w:p w14:paraId="254D3B4A" w14:textId="77777777" w:rsidR="00EF56FD" w:rsidRDefault="00EF56FD" w:rsidP="008A7465">
      <w:pPr>
        <w:spacing w:after="0" w:line="240" w:lineRule="auto"/>
        <w:rPr>
          <w:u w:val="single"/>
        </w:rPr>
      </w:pPr>
      <w:r>
        <w:rPr>
          <w:u w:val="single"/>
        </w:rPr>
        <w:br w:type="page"/>
      </w:r>
    </w:p>
    <w:p w14:paraId="1EE83D1B" w14:textId="77777777" w:rsidR="00EF56FD" w:rsidRDefault="00EF56FD" w:rsidP="006479D4">
      <w:pPr>
        <w:pStyle w:val="Style10"/>
        <w:spacing w:before="80"/>
      </w:pPr>
      <w:r>
        <w:lastRenderedPageBreak/>
        <w:t>LEARNING</w:t>
      </w:r>
    </w:p>
    <w:p w14:paraId="4E7D09A0" w14:textId="77777777" w:rsidR="00EF56FD" w:rsidRPr="00994914" w:rsidRDefault="00EF56FD" w:rsidP="00B5295C">
      <w:pPr>
        <w:pStyle w:val="ESHeading30"/>
      </w:pPr>
      <w:r>
        <w:t>Teacher Judgement of student achievement</w:t>
      </w:r>
    </w:p>
    <w:p w14:paraId="2DE730A5" w14:textId="77777777" w:rsidR="00EF56FD" w:rsidRDefault="00EF56FD" w:rsidP="00B5295C">
      <w:pPr>
        <w:pStyle w:val="ESBodyText0"/>
      </w:pPr>
      <w:r>
        <w:t xml:space="preserve">Percent of </w:t>
      </w:r>
      <w:r>
        <w:t>results</w:t>
      </w:r>
      <w:r>
        <w:t xml:space="preserve"> at </w:t>
      </w:r>
      <w:r>
        <w:t xml:space="preserve">each achievement level in </w:t>
      </w:r>
      <w:r>
        <w:t>English and Mathematics.</w:t>
      </w:r>
    </w:p>
    <w:p w14:paraId="1941E48A" w14:textId="77777777" w:rsidR="00EF56FD" w:rsidRDefault="00EF56FD" w:rsidP="00765A56">
      <w:pPr>
        <w:spacing w:before="240" w:line="240" w:lineRule="auto"/>
        <w:rPr>
          <w:rFonts w:eastAsia="Times New Roman"/>
          <w:b/>
          <w:bCs/>
          <w:color w:val="000000"/>
          <w:lang w:val="en-AU" w:eastAsia="en-AU"/>
        </w:rPr>
      </w:pPr>
      <w:r w:rsidRPr="000E2D23">
        <w:rPr>
          <w:rFonts w:eastAsia="Times New Roman"/>
          <w:b/>
          <w:bCs/>
          <w:color w:val="000000"/>
          <w:lang w:val="en-AU" w:eastAsia="en-AU"/>
        </w:rPr>
        <w:t>English</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56"/>
      </w:tblGrid>
      <w:tr w:rsidR="00295443" w14:paraId="05F4E9F5" w14:textId="77777777" w:rsidTr="00712CAE">
        <w:trPr>
          <w:trHeight w:hRule="exact" w:val="567"/>
        </w:trPr>
        <w:tc>
          <w:tcPr>
            <w:tcW w:w="1538" w:type="dxa"/>
            <w:tcBorders>
              <w:bottom w:val="single" w:sz="4" w:space="0" w:color="BFBFBF" w:themeColor="background1" w:themeShade="BF"/>
            </w:tcBorders>
            <w:vAlign w:val="bottom"/>
          </w:tcPr>
          <w:p w14:paraId="0FE93743" w14:textId="77777777" w:rsidR="00EF56FD" w:rsidRPr="00875122" w:rsidRDefault="00EF56FD" w:rsidP="00875122">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Achievement Level</w:t>
            </w:r>
          </w:p>
        </w:tc>
        <w:tc>
          <w:tcPr>
            <w:tcW w:w="1556" w:type="dxa"/>
            <w:tcBorders>
              <w:bottom w:val="single" w:sz="4" w:space="0" w:color="BFBFBF" w:themeColor="background1" w:themeShade="BF"/>
            </w:tcBorders>
            <w:vAlign w:val="bottom"/>
          </w:tcPr>
          <w:p w14:paraId="00F9B081" w14:textId="77777777" w:rsidR="00EF56FD" w:rsidRPr="00875122" w:rsidRDefault="00EF56FD" w:rsidP="00875122">
            <w:pPr>
              <w:spacing w:after="0" w:line="240" w:lineRule="auto"/>
              <w:jc w:val="center"/>
              <w:rPr>
                <w:rFonts w:ascii="Calibri" w:eastAsia="Times New Roman" w:hAnsi="Calibri" w:cs="Calibri"/>
                <w:sz w:val="22"/>
                <w:szCs w:val="22"/>
                <w:lang w:val="en-AU" w:eastAsia="en-AU"/>
              </w:rPr>
            </w:pPr>
            <w:r>
              <w:rPr>
                <w:noProof/>
              </w:rPr>
              <w:drawing>
                <wp:anchor distT="0" distB="0" distL="114300" distR="114300" simplePos="0" relativeHeight="251661312" behindDoc="0" locked="0" layoutInCell="1" allowOverlap="1" wp14:anchorId="61A9B5F4" wp14:editId="46B640C2">
                  <wp:simplePos x="0" y="0"/>
                  <wp:positionH relativeFrom="margin">
                    <wp:posOffset>702310</wp:posOffset>
                  </wp:positionH>
                  <wp:positionV relativeFrom="paragraph">
                    <wp:posOffset>45085</wp:posOffset>
                  </wp:positionV>
                  <wp:extent cx="4724400" cy="398145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875122">
              <w:rPr>
                <w:rFonts w:ascii="Calibri" w:eastAsia="Times New Roman" w:hAnsi="Calibri" w:cs="Calibri"/>
                <w:sz w:val="22"/>
                <w:szCs w:val="22"/>
                <w:lang w:val="en-AU" w:eastAsia="en-AU"/>
              </w:rPr>
              <w:t xml:space="preserve">Latest year </w:t>
            </w:r>
            <w:r w:rsidRPr="00875122">
              <w:rPr>
                <w:rFonts w:ascii="Calibri" w:eastAsia="Times New Roman" w:hAnsi="Calibri" w:cs="Calibri"/>
                <w:sz w:val="22"/>
                <w:szCs w:val="22"/>
                <w:lang w:val="en-AU" w:eastAsia="en-AU"/>
              </w:rPr>
              <w:t>(202</w:t>
            </w:r>
            <w:r>
              <w:rPr>
                <w:rFonts w:ascii="Calibri" w:eastAsia="Times New Roman" w:hAnsi="Calibri" w:cs="Calibri"/>
                <w:sz w:val="22"/>
                <w:szCs w:val="22"/>
                <w:lang w:val="en-AU" w:eastAsia="en-AU"/>
              </w:rPr>
              <w:t>3</w:t>
            </w:r>
            <w:r w:rsidRPr="00875122">
              <w:rPr>
                <w:rFonts w:ascii="Calibri" w:eastAsia="Times New Roman" w:hAnsi="Calibri" w:cs="Calibri"/>
                <w:sz w:val="22"/>
                <w:szCs w:val="22"/>
                <w:lang w:val="en-AU" w:eastAsia="en-AU"/>
              </w:rPr>
              <w:t>)</w:t>
            </w:r>
          </w:p>
        </w:tc>
      </w:tr>
      <w:tr w:rsidR="00295443" w14:paraId="222BF483" w14:textId="77777777" w:rsidTr="00712CAE">
        <w:trPr>
          <w:trHeight w:hRule="exact" w:val="284"/>
        </w:trPr>
        <w:tc>
          <w:tcPr>
            <w:tcW w:w="1538" w:type="dxa"/>
            <w:tcBorders>
              <w:top w:val="single" w:sz="4" w:space="0" w:color="BFBFBF" w:themeColor="background1" w:themeShade="BF"/>
            </w:tcBorders>
            <w:vAlign w:val="center"/>
          </w:tcPr>
          <w:p w14:paraId="1FC00C1D" w14:textId="77777777" w:rsidR="00EF56FD" w:rsidRPr="00875122" w:rsidRDefault="00EF56FD"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A</w:t>
            </w:r>
          </w:p>
        </w:tc>
        <w:tc>
          <w:tcPr>
            <w:tcW w:w="1556" w:type="dxa"/>
            <w:tcBorders>
              <w:top w:val="single" w:sz="4" w:space="0" w:color="BFBFBF" w:themeColor="background1" w:themeShade="BF"/>
            </w:tcBorders>
            <w:shd w:val="clear" w:color="auto" w:fill="FFC000"/>
            <w:vAlign w:val="center"/>
          </w:tcPr>
          <w:p w14:paraId="259D64AD"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21.8%</w:t>
            </w:r>
          </w:p>
        </w:tc>
      </w:tr>
      <w:tr w:rsidR="00295443" w14:paraId="6491A1BA" w14:textId="77777777" w:rsidTr="00712CAE">
        <w:trPr>
          <w:trHeight w:hRule="exact" w:val="284"/>
        </w:trPr>
        <w:tc>
          <w:tcPr>
            <w:tcW w:w="1538" w:type="dxa"/>
            <w:vAlign w:val="center"/>
          </w:tcPr>
          <w:p w14:paraId="0B501581" w14:textId="77777777" w:rsidR="00EF56FD" w:rsidRPr="00875122" w:rsidRDefault="00EF56FD"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B</w:t>
            </w:r>
          </w:p>
        </w:tc>
        <w:tc>
          <w:tcPr>
            <w:tcW w:w="1556" w:type="dxa"/>
            <w:shd w:val="clear" w:color="auto" w:fill="FFC000"/>
            <w:vAlign w:val="center"/>
          </w:tcPr>
          <w:p w14:paraId="1A55B1C5"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46.6%</w:t>
            </w:r>
          </w:p>
        </w:tc>
      </w:tr>
      <w:tr w:rsidR="00295443" w14:paraId="7F72C4CC" w14:textId="77777777" w:rsidTr="00712CAE">
        <w:trPr>
          <w:trHeight w:hRule="exact" w:val="284"/>
        </w:trPr>
        <w:tc>
          <w:tcPr>
            <w:tcW w:w="1538" w:type="dxa"/>
            <w:vAlign w:val="center"/>
          </w:tcPr>
          <w:p w14:paraId="41F645E2" w14:textId="77777777" w:rsidR="00EF56FD" w:rsidRPr="00875122" w:rsidRDefault="00EF56FD"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C</w:t>
            </w:r>
          </w:p>
        </w:tc>
        <w:tc>
          <w:tcPr>
            <w:tcW w:w="1556" w:type="dxa"/>
            <w:shd w:val="clear" w:color="auto" w:fill="FFC000"/>
            <w:vAlign w:val="center"/>
          </w:tcPr>
          <w:p w14:paraId="1FE3C113"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13.0%</w:t>
            </w:r>
          </w:p>
        </w:tc>
      </w:tr>
      <w:tr w:rsidR="00295443" w14:paraId="45CBFCC8" w14:textId="77777777" w:rsidTr="00712CAE">
        <w:trPr>
          <w:trHeight w:hRule="exact" w:val="284"/>
        </w:trPr>
        <w:tc>
          <w:tcPr>
            <w:tcW w:w="1538" w:type="dxa"/>
            <w:vAlign w:val="center"/>
          </w:tcPr>
          <w:p w14:paraId="70F4D093" w14:textId="77777777" w:rsidR="00EF56FD" w:rsidRPr="00875122" w:rsidRDefault="00EF56FD"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D</w:t>
            </w:r>
          </w:p>
        </w:tc>
        <w:tc>
          <w:tcPr>
            <w:tcW w:w="1556" w:type="dxa"/>
            <w:shd w:val="clear" w:color="auto" w:fill="FFC000"/>
            <w:vAlign w:val="center"/>
          </w:tcPr>
          <w:p w14:paraId="7AF28B03"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9.8%</w:t>
            </w:r>
          </w:p>
        </w:tc>
      </w:tr>
      <w:tr w:rsidR="00295443" w14:paraId="7C46D557" w14:textId="77777777" w:rsidTr="00712CAE">
        <w:trPr>
          <w:trHeight w:hRule="exact" w:val="284"/>
        </w:trPr>
        <w:tc>
          <w:tcPr>
            <w:tcW w:w="1538" w:type="dxa"/>
            <w:vAlign w:val="center"/>
          </w:tcPr>
          <w:p w14:paraId="3DAD66E3" w14:textId="77777777" w:rsidR="00EF56FD" w:rsidRPr="00875122" w:rsidRDefault="00EF56FD"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0.5</w:t>
            </w:r>
          </w:p>
        </w:tc>
        <w:tc>
          <w:tcPr>
            <w:tcW w:w="1556" w:type="dxa"/>
            <w:shd w:val="clear" w:color="auto" w:fill="FFC000"/>
            <w:vAlign w:val="center"/>
          </w:tcPr>
          <w:p w14:paraId="4050F153"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2.6%</w:t>
            </w:r>
          </w:p>
        </w:tc>
      </w:tr>
      <w:tr w:rsidR="00295443" w14:paraId="6E50FA19" w14:textId="77777777" w:rsidTr="00712CAE">
        <w:trPr>
          <w:trHeight w:hRule="exact" w:val="284"/>
        </w:trPr>
        <w:tc>
          <w:tcPr>
            <w:tcW w:w="1538" w:type="dxa"/>
            <w:vAlign w:val="center"/>
          </w:tcPr>
          <w:p w14:paraId="447362CA" w14:textId="77777777" w:rsidR="00EF56FD" w:rsidRPr="00875122" w:rsidRDefault="00EF56FD"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F to F.5</w:t>
            </w:r>
          </w:p>
        </w:tc>
        <w:tc>
          <w:tcPr>
            <w:tcW w:w="1556" w:type="dxa"/>
            <w:shd w:val="clear" w:color="auto" w:fill="FFC000"/>
            <w:vAlign w:val="center"/>
          </w:tcPr>
          <w:p w14:paraId="19A1C6B6"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5.2%</w:t>
            </w:r>
          </w:p>
        </w:tc>
      </w:tr>
      <w:tr w:rsidR="00295443" w14:paraId="639CC385" w14:textId="77777777" w:rsidTr="00712CAE">
        <w:trPr>
          <w:trHeight w:hRule="exact" w:val="284"/>
        </w:trPr>
        <w:tc>
          <w:tcPr>
            <w:tcW w:w="1538" w:type="dxa"/>
            <w:vAlign w:val="bottom"/>
          </w:tcPr>
          <w:p w14:paraId="339783F3"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 to 1.5</w:t>
            </w:r>
          </w:p>
        </w:tc>
        <w:tc>
          <w:tcPr>
            <w:tcW w:w="1556" w:type="dxa"/>
            <w:shd w:val="clear" w:color="auto" w:fill="FFC000"/>
            <w:vAlign w:val="bottom"/>
          </w:tcPr>
          <w:p w14:paraId="56ADC649"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1.0%</w:t>
            </w:r>
          </w:p>
        </w:tc>
      </w:tr>
      <w:tr w:rsidR="00295443" w14:paraId="6783639B" w14:textId="77777777" w:rsidTr="00712CAE">
        <w:trPr>
          <w:trHeight w:hRule="exact" w:val="284"/>
        </w:trPr>
        <w:tc>
          <w:tcPr>
            <w:tcW w:w="1538" w:type="dxa"/>
            <w:vAlign w:val="bottom"/>
          </w:tcPr>
          <w:p w14:paraId="1005BFD4"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2 to 2.5</w:t>
            </w:r>
          </w:p>
        </w:tc>
        <w:tc>
          <w:tcPr>
            <w:tcW w:w="1556" w:type="dxa"/>
            <w:shd w:val="clear" w:color="auto" w:fill="FFC000"/>
            <w:vAlign w:val="bottom"/>
          </w:tcPr>
          <w:p w14:paraId="479CDAD1"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76CBA03E" w14:textId="77777777" w:rsidTr="00712CAE">
        <w:trPr>
          <w:trHeight w:hRule="exact" w:val="284"/>
        </w:trPr>
        <w:tc>
          <w:tcPr>
            <w:tcW w:w="1538" w:type="dxa"/>
            <w:vAlign w:val="bottom"/>
          </w:tcPr>
          <w:p w14:paraId="36912FCA"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3 to 3.5</w:t>
            </w:r>
          </w:p>
        </w:tc>
        <w:tc>
          <w:tcPr>
            <w:tcW w:w="1556" w:type="dxa"/>
            <w:shd w:val="clear" w:color="auto" w:fill="FFC000"/>
            <w:vAlign w:val="bottom"/>
          </w:tcPr>
          <w:p w14:paraId="7AE3233C"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478CB029" w14:textId="77777777" w:rsidTr="00712CAE">
        <w:trPr>
          <w:trHeight w:hRule="exact" w:val="284"/>
        </w:trPr>
        <w:tc>
          <w:tcPr>
            <w:tcW w:w="1538" w:type="dxa"/>
            <w:vAlign w:val="bottom"/>
          </w:tcPr>
          <w:p w14:paraId="7CCF56A4"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4 to 4.5</w:t>
            </w:r>
          </w:p>
        </w:tc>
        <w:tc>
          <w:tcPr>
            <w:tcW w:w="1556" w:type="dxa"/>
            <w:shd w:val="clear" w:color="auto" w:fill="FFC000"/>
            <w:vAlign w:val="bottom"/>
          </w:tcPr>
          <w:p w14:paraId="393BD5FA"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3F0D77EC" w14:textId="77777777" w:rsidTr="00712CAE">
        <w:trPr>
          <w:trHeight w:hRule="exact" w:val="284"/>
        </w:trPr>
        <w:tc>
          <w:tcPr>
            <w:tcW w:w="1538" w:type="dxa"/>
            <w:vAlign w:val="bottom"/>
          </w:tcPr>
          <w:p w14:paraId="7B4EF4A6"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5 to 5.5</w:t>
            </w:r>
          </w:p>
        </w:tc>
        <w:tc>
          <w:tcPr>
            <w:tcW w:w="1556" w:type="dxa"/>
            <w:shd w:val="clear" w:color="auto" w:fill="FFC000"/>
            <w:vAlign w:val="bottom"/>
          </w:tcPr>
          <w:p w14:paraId="1F0C89C1"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5763FEDD" w14:textId="77777777" w:rsidTr="00712CAE">
        <w:trPr>
          <w:trHeight w:hRule="exact" w:val="284"/>
        </w:trPr>
        <w:tc>
          <w:tcPr>
            <w:tcW w:w="1538" w:type="dxa"/>
            <w:vAlign w:val="bottom"/>
          </w:tcPr>
          <w:p w14:paraId="02BE652A"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6 to 6.5</w:t>
            </w:r>
          </w:p>
        </w:tc>
        <w:tc>
          <w:tcPr>
            <w:tcW w:w="1556" w:type="dxa"/>
            <w:shd w:val="clear" w:color="auto" w:fill="FFC000"/>
            <w:vAlign w:val="bottom"/>
          </w:tcPr>
          <w:p w14:paraId="5D3BBA39"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15AA2F47" w14:textId="77777777" w:rsidTr="00712CAE">
        <w:trPr>
          <w:trHeight w:hRule="exact" w:val="284"/>
        </w:trPr>
        <w:tc>
          <w:tcPr>
            <w:tcW w:w="1538" w:type="dxa"/>
            <w:vAlign w:val="bottom"/>
          </w:tcPr>
          <w:p w14:paraId="3235532E"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7 to 7.5</w:t>
            </w:r>
          </w:p>
        </w:tc>
        <w:tc>
          <w:tcPr>
            <w:tcW w:w="1556" w:type="dxa"/>
            <w:shd w:val="clear" w:color="auto" w:fill="FFC000"/>
            <w:vAlign w:val="bottom"/>
          </w:tcPr>
          <w:p w14:paraId="42C4DEF5"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44456957" w14:textId="77777777" w:rsidTr="00712CAE">
        <w:trPr>
          <w:trHeight w:hRule="exact" w:val="284"/>
        </w:trPr>
        <w:tc>
          <w:tcPr>
            <w:tcW w:w="1538" w:type="dxa"/>
            <w:vAlign w:val="bottom"/>
          </w:tcPr>
          <w:p w14:paraId="3CE47B34"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8 to 8.5</w:t>
            </w:r>
          </w:p>
        </w:tc>
        <w:tc>
          <w:tcPr>
            <w:tcW w:w="1556" w:type="dxa"/>
            <w:shd w:val="clear" w:color="auto" w:fill="FFC000"/>
            <w:vAlign w:val="bottom"/>
          </w:tcPr>
          <w:p w14:paraId="24574D83"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250A13BE" w14:textId="77777777" w:rsidTr="00712CAE">
        <w:trPr>
          <w:trHeight w:hRule="exact" w:val="284"/>
        </w:trPr>
        <w:tc>
          <w:tcPr>
            <w:tcW w:w="1538" w:type="dxa"/>
            <w:vAlign w:val="bottom"/>
          </w:tcPr>
          <w:p w14:paraId="35E704C6"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9 to 9.5</w:t>
            </w:r>
          </w:p>
        </w:tc>
        <w:tc>
          <w:tcPr>
            <w:tcW w:w="1556" w:type="dxa"/>
            <w:shd w:val="clear" w:color="auto" w:fill="FFC000"/>
            <w:vAlign w:val="bottom"/>
          </w:tcPr>
          <w:p w14:paraId="7AAEF56B"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425BB021" w14:textId="77777777" w:rsidTr="00712CAE">
        <w:trPr>
          <w:trHeight w:hRule="exact" w:val="284"/>
        </w:trPr>
        <w:tc>
          <w:tcPr>
            <w:tcW w:w="1538" w:type="dxa"/>
            <w:vAlign w:val="bottom"/>
          </w:tcPr>
          <w:p w14:paraId="0EA41BE5"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10 to 10.5</w:t>
            </w:r>
          </w:p>
        </w:tc>
        <w:tc>
          <w:tcPr>
            <w:tcW w:w="1556" w:type="dxa"/>
            <w:shd w:val="clear" w:color="auto" w:fill="FFC000"/>
            <w:vAlign w:val="bottom"/>
          </w:tcPr>
          <w:p w14:paraId="48CED8B0"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57514806" w14:textId="77777777" w:rsidTr="00712CAE">
        <w:trPr>
          <w:trHeight w:hRule="exact" w:val="284"/>
        </w:trPr>
        <w:tc>
          <w:tcPr>
            <w:tcW w:w="1538" w:type="dxa"/>
            <w:vAlign w:val="bottom"/>
          </w:tcPr>
          <w:p w14:paraId="5280B3CF"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11 to 11.5</w:t>
            </w:r>
          </w:p>
        </w:tc>
        <w:tc>
          <w:tcPr>
            <w:tcW w:w="1556" w:type="dxa"/>
            <w:shd w:val="clear" w:color="auto" w:fill="FFC000"/>
            <w:vAlign w:val="bottom"/>
          </w:tcPr>
          <w:p w14:paraId="2E7EF387"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03D39149" w14:textId="77777777" w:rsidTr="00712CAE">
        <w:trPr>
          <w:trHeight w:hRule="exact" w:val="284"/>
        </w:trPr>
        <w:tc>
          <w:tcPr>
            <w:tcW w:w="1538" w:type="dxa"/>
            <w:tcBorders>
              <w:bottom w:val="single" w:sz="4" w:space="0" w:color="BFBFBF" w:themeColor="background1" w:themeShade="BF"/>
            </w:tcBorders>
            <w:vAlign w:val="bottom"/>
          </w:tcPr>
          <w:p w14:paraId="6445010B" w14:textId="77777777" w:rsidR="00EF56FD" w:rsidRPr="00875122" w:rsidRDefault="00EF56FD"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NA</w:t>
            </w:r>
          </w:p>
        </w:tc>
        <w:tc>
          <w:tcPr>
            <w:tcW w:w="1556" w:type="dxa"/>
            <w:tcBorders>
              <w:bottom w:val="single" w:sz="4" w:space="0" w:color="BFBFBF" w:themeColor="background1" w:themeShade="BF"/>
            </w:tcBorders>
            <w:shd w:val="clear" w:color="auto" w:fill="FFC000"/>
            <w:vAlign w:val="bottom"/>
          </w:tcPr>
          <w:p w14:paraId="4645EE4B" w14:textId="77777777" w:rsidR="00EF56FD" w:rsidRPr="00875122" w:rsidRDefault="00EF56FD"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bl>
    <w:p w14:paraId="66794F6B" w14:textId="77777777" w:rsidR="00EF56FD" w:rsidRDefault="00EF56FD" w:rsidP="00B5295C">
      <w:pPr>
        <w:spacing w:before="240" w:after="240" w:line="240" w:lineRule="auto"/>
        <w:rPr>
          <w:rFonts w:eastAsia="Times New Roman"/>
          <w:b/>
          <w:bCs/>
          <w:color w:val="000000"/>
          <w:lang w:val="en-AU" w:eastAsia="en-AU"/>
        </w:rPr>
      </w:pPr>
    </w:p>
    <w:p w14:paraId="56E8BB06" w14:textId="77777777" w:rsidR="00EF56FD" w:rsidRPr="004F0C45" w:rsidRDefault="00EF56FD" w:rsidP="00765A56">
      <w:pPr>
        <w:pStyle w:val="ESBodyText0"/>
        <w:spacing w:before="120" w:line="240" w:lineRule="auto"/>
        <w:rPr>
          <w:b/>
          <w:bCs/>
        </w:rPr>
      </w:pPr>
      <w:r>
        <w:rPr>
          <w:noProof/>
        </w:rPr>
        <w:drawing>
          <wp:anchor distT="0" distB="0" distL="114300" distR="114300" simplePos="0" relativeHeight="251662336" behindDoc="0" locked="0" layoutInCell="1" allowOverlap="1" wp14:anchorId="58DF3AA0" wp14:editId="06D8F866">
            <wp:simplePos x="0" y="0"/>
            <wp:positionH relativeFrom="margin">
              <wp:posOffset>2266315</wp:posOffset>
            </wp:positionH>
            <wp:positionV relativeFrom="paragraph">
              <wp:posOffset>196850</wp:posOffset>
            </wp:positionV>
            <wp:extent cx="4572000" cy="4025900"/>
            <wp:effectExtent l="0" t="0" r="0" b="0"/>
            <wp:wrapNone/>
            <wp:docPr id="187313223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4F0C45">
        <w:rPr>
          <w:b/>
          <w:bCs/>
        </w:rPr>
        <w:t>Mathematics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56"/>
      </w:tblGrid>
      <w:tr w:rsidR="00295443" w14:paraId="15245D23" w14:textId="77777777" w:rsidTr="004071E1">
        <w:trPr>
          <w:trHeight w:hRule="exact" w:val="567"/>
        </w:trPr>
        <w:tc>
          <w:tcPr>
            <w:tcW w:w="1538" w:type="dxa"/>
            <w:tcBorders>
              <w:bottom w:val="single" w:sz="4" w:space="0" w:color="BFBFBF" w:themeColor="background1" w:themeShade="BF"/>
            </w:tcBorders>
            <w:vAlign w:val="bottom"/>
          </w:tcPr>
          <w:p w14:paraId="395BB863" w14:textId="77777777" w:rsidR="00EF56FD" w:rsidRPr="00875122" w:rsidRDefault="00EF56FD" w:rsidP="004071E1">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Achievement Level</w:t>
            </w:r>
          </w:p>
        </w:tc>
        <w:tc>
          <w:tcPr>
            <w:tcW w:w="1556" w:type="dxa"/>
            <w:tcBorders>
              <w:bottom w:val="single" w:sz="4" w:space="0" w:color="BFBFBF" w:themeColor="background1" w:themeShade="BF"/>
            </w:tcBorders>
            <w:vAlign w:val="bottom"/>
          </w:tcPr>
          <w:p w14:paraId="0EBD7453" w14:textId="77777777" w:rsidR="00EF56FD" w:rsidRPr="00875122" w:rsidRDefault="00EF56FD" w:rsidP="004071E1">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Latest year (202</w:t>
            </w:r>
            <w:r>
              <w:rPr>
                <w:rFonts w:ascii="Calibri" w:eastAsia="Times New Roman" w:hAnsi="Calibri" w:cs="Calibri"/>
                <w:sz w:val="22"/>
                <w:szCs w:val="22"/>
                <w:lang w:val="en-AU" w:eastAsia="en-AU"/>
              </w:rPr>
              <w:t>3</w:t>
            </w:r>
            <w:r w:rsidRPr="00875122">
              <w:rPr>
                <w:rFonts w:ascii="Calibri" w:eastAsia="Times New Roman" w:hAnsi="Calibri" w:cs="Calibri"/>
                <w:sz w:val="22"/>
                <w:szCs w:val="22"/>
                <w:lang w:val="en-AU" w:eastAsia="en-AU"/>
              </w:rPr>
              <w:t>)</w:t>
            </w:r>
          </w:p>
        </w:tc>
      </w:tr>
      <w:tr w:rsidR="00295443" w14:paraId="601953F0" w14:textId="77777777" w:rsidTr="004071E1">
        <w:trPr>
          <w:trHeight w:hRule="exact" w:val="284"/>
        </w:trPr>
        <w:tc>
          <w:tcPr>
            <w:tcW w:w="1538" w:type="dxa"/>
            <w:tcBorders>
              <w:top w:val="single" w:sz="4" w:space="0" w:color="BFBFBF" w:themeColor="background1" w:themeShade="BF"/>
            </w:tcBorders>
            <w:vAlign w:val="bottom"/>
          </w:tcPr>
          <w:p w14:paraId="2F15B80C"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A</w:t>
            </w:r>
          </w:p>
        </w:tc>
        <w:tc>
          <w:tcPr>
            <w:tcW w:w="1556" w:type="dxa"/>
            <w:tcBorders>
              <w:top w:val="single" w:sz="4" w:space="0" w:color="BFBFBF" w:themeColor="background1" w:themeShade="BF"/>
            </w:tcBorders>
            <w:shd w:val="clear" w:color="auto" w:fill="FFC000"/>
            <w:vAlign w:val="bottom"/>
          </w:tcPr>
          <w:p w14:paraId="6F425DE7"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32.3%</w:t>
            </w:r>
          </w:p>
        </w:tc>
      </w:tr>
      <w:tr w:rsidR="00295443" w14:paraId="23BFAD31" w14:textId="77777777" w:rsidTr="004071E1">
        <w:trPr>
          <w:trHeight w:hRule="exact" w:val="284"/>
        </w:trPr>
        <w:tc>
          <w:tcPr>
            <w:tcW w:w="1538" w:type="dxa"/>
            <w:vAlign w:val="bottom"/>
          </w:tcPr>
          <w:p w14:paraId="46B6031E"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B</w:t>
            </w:r>
          </w:p>
        </w:tc>
        <w:tc>
          <w:tcPr>
            <w:tcW w:w="1556" w:type="dxa"/>
            <w:shd w:val="clear" w:color="auto" w:fill="FFC000"/>
            <w:vAlign w:val="bottom"/>
          </w:tcPr>
          <w:p w14:paraId="4FA26313"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36.9%</w:t>
            </w:r>
          </w:p>
        </w:tc>
      </w:tr>
      <w:tr w:rsidR="00295443" w14:paraId="2CD865A4" w14:textId="77777777" w:rsidTr="004071E1">
        <w:trPr>
          <w:trHeight w:hRule="exact" w:val="284"/>
        </w:trPr>
        <w:tc>
          <w:tcPr>
            <w:tcW w:w="1538" w:type="dxa"/>
            <w:vAlign w:val="bottom"/>
          </w:tcPr>
          <w:p w14:paraId="0B63E9C0"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C</w:t>
            </w:r>
          </w:p>
        </w:tc>
        <w:tc>
          <w:tcPr>
            <w:tcW w:w="1556" w:type="dxa"/>
            <w:shd w:val="clear" w:color="auto" w:fill="FFC000"/>
            <w:vAlign w:val="bottom"/>
          </w:tcPr>
          <w:p w14:paraId="130B2007"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15.9%</w:t>
            </w:r>
          </w:p>
        </w:tc>
      </w:tr>
      <w:tr w:rsidR="00295443" w14:paraId="18E582E8" w14:textId="77777777" w:rsidTr="004071E1">
        <w:trPr>
          <w:trHeight w:hRule="exact" w:val="284"/>
        </w:trPr>
        <w:tc>
          <w:tcPr>
            <w:tcW w:w="1538" w:type="dxa"/>
            <w:vAlign w:val="bottom"/>
          </w:tcPr>
          <w:p w14:paraId="04C007CB"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D</w:t>
            </w:r>
          </w:p>
        </w:tc>
        <w:tc>
          <w:tcPr>
            <w:tcW w:w="1556" w:type="dxa"/>
            <w:shd w:val="clear" w:color="auto" w:fill="FFC000"/>
            <w:vAlign w:val="bottom"/>
          </w:tcPr>
          <w:p w14:paraId="55F7A799"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7.2%</w:t>
            </w:r>
          </w:p>
        </w:tc>
      </w:tr>
      <w:tr w:rsidR="00295443" w14:paraId="48A5C451" w14:textId="77777777" w:rsidTr="004071E1">
        <w:trPr>
          <w:trHeight w:hRule="exact" w:val="284"/>
        </w:trPr>
        <w:tc>
          <w:tcPr>
            <w:tcW w:w="1538" w:type="dxa"/>
            <w:vAlign w:val="bottom"/>
          </w:tcPr>
          <w:p w14:paraId="37DBCE75"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0.5</w:t>
            </w:r>
          </w:p>
        </w:tc>
        <w:tc>
          <w:tcPr>
            <w:tcW w:w="1556" w:type="dxa"/>
            <w:shd w:val="clear" w:color="auto" w:fill="FFC000"/>
            <w:vAlign w:val="bottom"/>
          </w:tcPr>
          <w:p w14:paraId="068C1F9F"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1.5%</w:t>
            </w:r>
          </w:p>
        </w:tc>
      </w:tr>
      <w:tr w:rsidR="00295443" w14:paraId="4F2416C6" w14:textId="77777777" w:rsidTr="004071E1">
        <w:trPr>
          <w:trHeight w:hRule="exact" w:val="284"/>
        </w:trPr>
        <w:tc>
          <w:tcPr>
            <w:tcW w:w="1538" w:type="dxa"/>
            <w:vAlign w:val="bottom"/>
          </w:tcPr>
          <w:p w14:paraId="1A69420D"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F to F.5</w:t>
            </w:r>
          </w:p>
        </w:tc>
        <w:tc>
          <w:tcPr>
            <w:tcW w:w="1556" w:type="dxa"/>
            <w:shd w:val="clear" w:color="auto" w:fill="FFC000"/>
            <w:vAlign w:val="bottom"/>
          </w:tcPr>
          <w:p w14:paraId="5317B268"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4.6%</w:t>
            </w:r>
          </w:p>
        </w:tc>
      </w:tr>
      <w:tr w:rsidR="00295443" w14:paraId="2A9F0C01" w14:textId="77777777" w:rsidTr="004071E1">
        <w:trPr>
          <w:trHeight w:hRule="exact" w:val="284"/>
        </w:trPr>
        <w:tc>
          <w:tcPr>
            <w:tcW w:w="1538" w:type="dxa"/>
            <w:vAlign w:val="bottom"/>
          </w:tcPr>
          <w:p w14:paraId="368A7F59"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 to 1.5</w:t>
            </w:r>
          </w:p>
        </w:tc>
        <w:tc>
          <w:tcPr>
            <w:tcW w:w="1556" w:type="dxa"/>
            <w:shd w:val="clear" w:color="auto" w:fill="FFC000"/>
            <w:vAlign w:val="bottom"/>
          </w:tcPr>
          <w:p w14:paraId="7A4455DE"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1.5%</w:t>
            </w:r>
          </w:p>
        </w:tc>
      </w:tr>
      <w:tr w:rsidR="00295443" w14:paraId="563E06AF" w14:textId="77777777" w:rsidTr="004071E1">
        <w:trPr>
          <w:trHeight w:hRule="exact" w:val="284"/>
        </w:trPr>
        <w:tc>
          <w:tcPr>
            <w:tcW w:w="1538" w:type="dxa"/>
            <w:vAlign w:val="bottom"/>
          </w:tcPr>
          <w:p w14:paraId="329C3AA3"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2 to 2.5</w:t>
            </w:r>
          </w:p>
        </w:tc>
        <w:tc>
          <w:tcPr>
            <w:tcW w:w="1556" w:type="dxa"/>
            <w:shd w:val="clear" w:color="auto" w:fill="FFC000"/>
            <w:vAlign w:val="bottom"/>
          </w:tcPr>
          <w:p w14:paraId="2E824280"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38366B10" w14:textId="77777777" w:rsidTr="004071E1">
        <w:trPr>
          <w:trHeight w:hRule="exact" w:val="284"/>
        </w:trPr>
        <w:tc>
          <w:tcPr>
            <w:tcW w:w="1538" w:type="dxa"/>
            <w:vAlign w:val="bottom"/>
          </w:tcPr>
          <w:p w14:paraId="24934DC7"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3 to 3.5</w:t>
            </w:r>
          </w:p>
        </w:tc>
        <w:tc>
          <w:tcPr>
            <w:tcW w:w="1556" w:type="dxa"/>
            <w:shd w:val="clear" w:color="auto" w:fill="FFC000"/>
            <w:vAlign w:val="bottom"/>
          </w:tcPr>
          <w:p w14:paraId="421B9BD7"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67AE7BB3" w14:textId="77777777" w:rsidTr="004071E1">
        <w:trPr>
          <w:trHeight w:hRule="exact" w:val="284"/>
        </w:trPr>
        <w:tc>
          <w:tcPr>
            <w:tcW w:w="1538" w:type="dxa"/>
            <w:vAlign w:val="bottom"/>
          </w:tcPr>
          <w:p w14:paraId="1AB60421"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4 to 4.5</w:t>
            </w:r>
          </w:p>
        </w:tc>
        <w:tc>
          <w:tcPr>
            <w:tcW w:w="1556" w:type="dxa"/>
            <w:shd w:val="clear" w:color="auto" w:fill="FFC000"/>
            <w:vAlign w:val="bottom"/>
          </w:tcPr>
          <w:p w14:paraId="53C92C1F"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759274BA" w14:textId="77777777" w:rsidTr="004071E1">
        <w:trPr>
          <w:trHeight w:hRule="exact" w:val="284"/>
        </w:trPr>
        <w:tc>
          <w:tcPr>
            <w:tcW w:w="1538" w:type="dxa"/>
            <w:vAlign w:val="bottom"/>
          </w:tcPr>
          <w:p w14:paraId="2BCC6516"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5 to 5.5</w:t>
            </w:r>
          </w:p>
        </w:tc>
        <w:tc>
          <w:tcPr>
            <w:tcW w:w="1556" w:type="dxa"/>
            <w:shd w:val="clear" w:color="auto" w:fill="FFC000"/>
            <w:vAlign w:val="bottom"/>
          </w:tcPr>
          <w:p w14:paraId="5B4EB569"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150D0EE5" w14:textId="77777777" w:rsidTr="004071E1">
        <w:trPr>
          <w:trHeight w:hRule="exact" w:val="284"/>
        </w:trPr>
        <w:tc>
          <w:tcPr>
            <w:tcW w:w="1538" w:type="dxa"/>
            <w:vAlign w:val="bottom"/>
          </w:tcPr>
          <w:p w14:paraId="0E94FFE1"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6 to 6.5</w:t>
            </w:r>
          </w:p>
        </w:tc>
        <w:tc>
          <w:tcPr>
            <w:tcW w:w="1556" w:type="dxa"/>
            <w:shd w:val="clear" w:color="auto" w:fill="FFC000"/>
            <w:vAlign w:val="bottom"/>
          </w:tcPr>
          <w:p w14:paraId="05291B68"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74851B8A" w14:textId="77777777" w:rsidTr="004071E1">
        <w:trPr>
          <w:trHeight w:hRule="exact" w:val="284"/>
        </w:trPr>
        <w:tc>
          <w:tcPr>
            <w:tcW w:w="1538" w:type="dxa"/>
            <w:vAlign w:val="bottom"/>
          </w:tcPr>
          <w:p w14:paraId="31011DD1"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7 to 7.5</w:t>
            </w:r>
          </w:p>
        </w:tc>
        <w:tc>
          <w:tcPr>
            <w:tcW w:w="1556" w:type="dxa"/>
            <w:shd w:val="clear" w:color="auto" w:fill="FFC000"/>
            <w:vAlign w:val="bottom"/>
          </w:tcPr>
          <w:p w14:paraId="12E19E5D"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76FDF31F" w14:textId="77777777" w:rsidTr="004071E1">
        <w:trPr>
          <w:trHeight w:hRule="exact" w:val="284"/>
        </w:trPr>
        <w:tc>
          <w:tcPr>
            <w:tcW w:w="1538" w:type="dxa"/>
            <w:vAlign w:val="bottom"/>
          </w:tcPr>
          <w:p w14:paraId="317E8175"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8 to 8.5</w:t>
            </w:r>
          </w:p>
        </w:tc>
        <w:tc>
          <w:tcPr>
            <w:tcW w:w="1556" w:type="dxa"/>
            <w:shd w:val="clear" w:color="auto" w:fill="FFC000"/>
            <w:vAlign w:val="bottom"/>
          </w:tcPr>
          <w:p w14:paraId="5D3936F3"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35321416" w14:textId="77777777" w:rsidTr="004071E1">
        <w:trPr>
          <w:trHeight w:hRule="exact" w:val="284"/>
        </w:trPr>
        <w:tc>
          <w:tcPr>
            <w:tcW w:w="1538" w:type="dxa"/>
            <w:vAlign w:val="bottom"/>
          </w:tcPr>
          <w:p w14:paraId="0764ED38"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9 to 9.5</w:t>
            </w:r>
          </w:p>
        </w:tc>
        <w:tc>
          <w:tcPr>
            <w:tcW w:w="1556" w:type="dxa"/>
            <w:shd w:val="clear" w:color="auto" w:fill="FFC000"/>
            <w:vAlign w:val="bottom"/>
          </w:tcPr>
          <w:p w14:paraId="45ED21AF"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1DF3B79C" w14:textId="77777777" w:rsidTr="004071E1">
        <w:trPr>
          <w:trHeight w:hRule="exact" w:val="284"/>
        </w:trPr>
        <w:tc>
          <w:tcPr>
            <w:tcW w:w="1538" w:type="dxa"/>
            <w:vAlign w:val="bottom"/>
          </w:tcPr>
          <w:p w14:paraId="5D395DD7"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10 to 10.5</w:t>
            </w:r>
          </w:p>
        </w:tc>
        <w:tc>
          <w:tcPr>
            <w:tcW w:w="1556" w:type="dxa"/>
            <w:shd w:val="clear" w:color="auto" w:fill="FFC000"/>
            <w:vAlign w:val="bottom"/>
          </w:tcPr>
          <w:p w14:paraId="7CD1F6BD"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075DF40F" w14:textId="77777777" w:rsidTr="004071E1">
        <w:trPr>
          <w:trHeight w:hRule="exact" w:val="284"/>
        </w:trPr>
        <w:tc>
          <w:tcPr>
            <w:tcW w:w="1538" w:type="dxa"/>
            <w:vAlign w:val="bottom"/>
          </w:tcPr>
          <w:p w14:paraId="29D79465"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11 to 11.5</w:t>
            </w:r>
          </w:p>
        </w:tc>
        <w:tc>
          <w:tcPr>
            <w:tcW w:w="1556" w:type="dxa"/>
            <w:shd w:val="clear" w:color="auto" w:fill="FFC000"/>
            <w:vAlign w:val="bottom"/>
          </w:tcPr>
          <w:p w14:paraId="4E64AD6C"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295443" w14:paraId="24D5AEA3" w14:textId="77777777" w:rsidTr="004071E1">
        <w:trPr>
          <w:trHeight w:hRule="exact" w:val="284"/>
        </w:trPr>
        <w:tc>
          <w:tcPr>
            <w:tcW w:w="1538" w:type="dxa"/>
            <w:tcBorders>
              <w:bottom w:val="single" w:sz="4" w:space="0" w:color="BFBFBF" w:themeColor="background1" w:themeShade="BF"/>
            </w:tcBorders>
            <w:vAlign w:val="bottom"/>
          </w:tcPr>
          <w:p w14:paraId="3A68A589" w14:textId="77777777" w:rsidR="00EF56FD" w:rsidRPr="00875122" w:rsidRDefault="00EF56FD"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NA</w:t>
            </w:r>
          </w:p>
        </w:tc>
        <w:tc>
          <w:tcPr>
            <w:tcW w:w="1556" w:type="dxa"/>
            <w:tcBorders>
              <w:bottom w:val="single" w:sz="4" w:space="0" w:color="BFBFBF" w:themeColor="background1" w:themeShade="BF"/>
            </w:tcBorders>
            <w:shd w:val="clear" w:color="auto" w:fill="FFC000"/>
            <w:vAlign w:val="bottom"/>
          </w:tcPr>
          <w:p w14:paraId="5BA35A8D" w14:textId="77777777" w:rsidR="00EF56FD" w:rsidRPr="00875122" w:rsidRDefault="00EF56FD"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bl>
    <w:p w14:paraId="34996DC5" w14:textId="77777777" w:rsidR="00EF56FD" w:rsidRDefault="00EF56FD">
      <w:pPr>
        <w:spacing w:after="0" w:line="240" w:lineRule="auto"/>
      </w:pPr>
      <w:r>
        <w:br w:type="page"/>
      </w:r>
    </w:p>
    <w:p w14:paraId="7D14EE23" w14:textId="77777777" w:rsidR="00EF56FD" w:rsidRDefault="00EF56FD" w:rsidP="00B637FF">
      <w:pPr>
        <w:pStyle w:val="Style10"/>
      </w:pPr>
      <w:r>
        <w:lastRenderedPageBreak/>
        <w:t>ENGAGEMENT</w:t>
      </w:r>
    </w:p>
    <w:p w14:paraId="2700B12C" w14:textId="77777777" w:rsidR="00EF56FD" w:rsidRDefault="00EF56FD" w:rsidP="002801F1">
      <w:pPr>
        <w:pStyle w:val="ESHeading30"/>
        <w:spacing w:before="360"/>
      </w:pPr>
      <w:r>
        <w:t>Average Number of Student Absence Days</w:t>
      </w:r>
    </w:p>
    <w:p w14:paraId="6099B395" w14:textId="77777777" w:rsidR="00EF56FD" w:rsidRDefault="00EF56FD" w:rsidP="002801F1">
      <w:pPr>
        <w:pStyle w:val="ESBodyText0"/>
        <w:spacing w:after="240"/>
      </w:pPr>
      <w:r>
        <w:t>Absence from school can impact on students’ learning.</w:t>
      </w:r>
      <w:r>
        <w:t xml:space="preserve"> </w:t>
      </w:r>
      <w:r>
        <w:t>Common reasons for non-attendance include illness and extended family holidays.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05"/>
        <w:gridCol w:w="1106"/>
        <w:gridCol w:w="1105"/>
        <w:gridCol w:w="1106"/>
        <w:gridCol w:w="1106"/>
      </w:tblGrid>
      <w:tr w:rsidR="00295443" w14:paraId="71C0B640" w14:textId="77777777" w:rsidTr="00875122">
        <w:trPr>
          <w:trHeight w:hRule="exact" w:val="510"/>
        </w:trPr>
        <w:tc>
          <w:tcPr>
            <w:tcW w:w="3539" w:type="dxa"/>
            <w:noWrap/>
            <w:vAlign w:val="center"/>
          </w:tcPr>
          <w:p w14:paraId="038B49BA" w14:textId="77777777" w:rsidR="00EF56FD" w:rsidRPr="00FD6A2F" w:rsidRDefault="00EF56FD" w:rsidP="00786F79">
            <w:pPr>
              <w:spacing w:after="0" w:line="240" w:lineRule="auto"/>
              <w:rPr>
                <w:b/>
                <w:bCs/>
              </w:rPr>
            </w:pPr>
            <w:r w:rsidRPr="00FD6A2F">
              <w:rPr>
                <w:b/>
                <w:bCs/>
              </w:rPr>
              <w:t xml:space="preserve">Student </w:t>
            </w:r>
            <w:r w:rsidRPr="00FD6A2F">
              <w:rPr>
                <w:rFonts w:eastAsia="Times New Roman"/>
                <w:b/>
                <w:bCs/>
                <w:color w:val="000000"/>
                <w:lang w:val="en-AU" w:eastAsia="en-AU"/>
              </w:rPr>
              <w:t>Absence</w:t>
            </w:r>
          </w:p>
        </w:tc>
        <w:tc>
          <w:tcPr>
            <w:tcW w:w="1105" w:type="dxa"/>
            <w:noWrap/>
            <w:vAlign w:val="center"/>
          </w:tcPr>
          <w:p w14:paraId="11981BF2" w14:textId="77777777" w:rsidR="00EF56FD" w:rsidRPr="00786F79" w:rsidRDefault="00EF56FD"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Pr>
                <w:rFonts w:eastAsia="Times New Roman"/>
                <w:color w:val="000000"/>
                <w:lang w:val="en-AU" w:eastAsia="en-AU"/>
              </w:rPr>
              <w:t>20</w:t>
            </w:r>
          </w:p>
        </w:tc>
        <w:tc>
          <w:tcPr>
            <w:tcW w:w="1106" w:type="dxa"/>
            <w:noWrap/>
            <w:vAlign w:val="center"/>
          </w:tcPr>
          <w:p w14:paraId="1374CF4F"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2021</w:t>
            </w:r>
          </w:p>
        </w:tc>
        <w:tc>
          <w:tcPr>
            <w:tcW w:w="1105" w:type="dxa"/>
            <w:noWrap/>
            <w:vAlign w:val="center"/>
          </w:tcPr>
          <w:p w14:paraId="0341CC9D"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2022</w:t>
            </w:r>
          </w:p>
        </w:tc>
        <w:tc>
          <w:tcPr>
            <w:tcW w:w="1106" w:type="dxa"/>
            <w:noWrap/>
            <w:vAlign w:val="center"/>
          </w:tcPr>
          <w:p w14:paraId="0E535E62"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2023</w:t>
            </w:r>
          </w:p>
        </w:tc>
        <w:tc>
          <w:tcPr>
            <w:tcW w:w="1106" w:type="dxa"/>
            <w:noWrap/>
            <w:vAlign w:val="center"/>
          </w:tcPr>
          <w:p w14:paraId="2F5883B0" w14:textId="77777777" w:rsidR="00EF56FD" w:rsidRPr="00786F79" w:rsidRDefault="00EF56FD"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4-year average</w:t>
            </w:r>
          </w:p>
        </w:tc>
      </w:tr>
      <w:tr w:rsidR="00295443" w14:paraId="260197F4" w14:textId="77777777" w:rsidTr="00FD6A2F">
        <w:trPr>
          <w:trHeight w:hRule="exact" w:val="680"/>
        </w:trPr>
        <w:tc>
          <w:tcPr>
            <w:tcW w:w="3539" w:type="dxa"/>
            <w:noWrap/>
            <w:vAlign w:val="center"/>
          </w:tcPr>
          <w:p w14:paraId="091CA1C0" w14:textId="77777777" w:rsidR="00EF56FD" w:rsidRDefault="00EF56FD" w:rsidP="00786F79">
            <w:pPr>
              <w:spacing w:after="0" w:line="240" w:lineRule="auto"/>
            </w:pPr>
            <w:r w:rsidRPr="006F0563">
              <w:rPr>
                <w:rFonts w:eastAsia="Times New Roman"/>
                <w:color w:val="000000"/>
                <w:lang w:val="en-AU" w:eastAsia="en-AU"/>
              </w:rPr>
              <w:t>School average number of absence days:</w:t>
            </w:r>
          </w:p>
        </w:tc>
        <w:tc>
          <w:tcPr>
            <w:tcW w:w="1105" w:type="dxa"/>
            <w:shd w:val="clear" w:color="auto" w:fill="FFC000"/>
            <w:noWrap/>
            <w:vAlign w:val="center"/>
          </w:tcPr>
          <w:p w14:paraId="2A75F6D4"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80.1</w:t>
            </w:r>
          </w:p>
        </w:tc>
        <w:tc>
          <w:tcPr>
            <w:tcW w:w="1106" w:type="dxa"/>
            <w:shd w:val="clear" w:color="auto" w:fill="FFC000"/>
            <w:noWrap/>
            <w:vAlign w:val="center"/>
          </w:tcPr>
          <w:p w14:paraId="0A8ADFB6"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81.4</w:t>
            </w:r>
          </w:p>
        </w:tc>
        <w:tc>
          <w:tcPr>
            <w:tcW w:w="1105" w:type="dxa"/>
            <w:shd w:val="clear" w:color="auto" w:fill="FFC000"/>
            <w:noWrap/>
            <w:vAlign w:val="center"/>
          </w:tcPr>
          <w:p w14:paraId="0CB5018B"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72.7</w:t>
            </w:r>
          </w:p>
        </w:tc>
        <w:tc>
          <w:tcPr>
            <w:tcW w:w="1106" w:type="dxa"/>
            <w:shd w:val="clear" w:color="auto" w:fill="FFC000"/>
            <w:noWrap/>
            <w:vAlign w:val="center"/>
          </w:tcPr>
          <w:p w14:paraId="1708DC5C"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73.1</w:t>
            </w:r>
          </w:p>
        </w:tc>
        <w:tc>
          <w:tcPr>
            <w:tcW w:w="1106" w:type="dxa"/>
            <w:shd w:val="clear" w:color="auto" w:fill="FFC000"/>
            <w:noWrap/>
            <w:vAlign w:val="center"/>
          </w:tcPr>
          <w:p w14:paraId="49FA6500" w14:textId="77777777" w:rsidR="00EF56FD" w:rsidRPr="00786F79" w:rsidRDefault="00EF56FD" w:rsidP="00786F79">
            <w:pPr>
              <w:spacing w:after="0" w:line="240" w:lineRule="auto"/>
              <w:jc w:val="center"/>
              <w:rPr>
                <w:rFonts w:eastAsia="Times New Roman"/>
                <w:color w:val="000000"/>
                <w:lang w:val="en-AU" w:eastAsia="en-AU"/>
              </w:rPr>
            </w:pPr>
            <w:r>
              <w:rPr>
                <w:rFonts w:eastAsia="Times New Roman"/>
                <w:color w:val="000000"/>
                <w:lang w:val="en-AU" w:eastAsia="en-AU"/>
              </w:rPr>
              <w:t>76.8</w:t>
            </w:r>
          </w:p>
        </w:tc>
      </w:tr>
    </w:tbl>
    <w:p w14:paraId="262F3526" w14:textId="77777777" w:rsidR="00EF56FD" w:rsidRDefault="00EF56FD" w:rsidP="002801F1">
      <w:pPr>
        <w:pStyle w:val="ESBodyText0"/>
        <w:spacing w:after="240"/>
      </w:pPr>
    </w:p>
    <w:p w14:paraId="7C16AD8C" w14:textId="77777777" w:rsidR="00EF56FD" w:rsidRDefault="00EF56FD" w:rsidP="002801F1">
      <w:pPr>
        <w:pStyle w:val="ESBodyText0"/>
        <w:spacing w:after="240"/>
      </w:pPr>
    </w:p>
    <w:p w14:paraId="0D0CBD49" w14:textId="77777777" w:rsidR="00EF56FD" w:rsidRDefault="00EF56FD" w:rsidP="00D4348E">
      <w:pPr>
        <w:pStyle w:val="ESHeading30"/>
      </w:pPr>
      <w:r>
        <w:t xml:space="preserve">Students exiting to further studies </w:t>
      </w:r>
      <w:r>
        <w:t>or</w:t>
      </w:r>
      <w:r>
        <w:t xml:space="preserve"> full-time employment</w:t>
      </w:r>
    </w:p>
    <w:p w14:paraId="3CC662E0" w14:textId="77777777" w:rsidR="00EF56FD" w:rsidRDefault="00EF56FD">
      <w:pPr>
        <w:pStyle w:val="ESBodyText0"/>
      </w:pPr>
      <w:r>
        <w:t>Percentage of students going on to further studies or full-time employment.</w:t>
      </w:r>
    </w:p>
    <w:p w14:paraId="21CBFE8C" w14:textId="77777777" w:rsidR="00EF56FD" w:rsidRDefault="00EF56FD" w:rsidP="002801F1">
      <w:pPr>
        <w:pStyle w:val="ESBodyText0"/>
        <w:spacing w:after="240"/>
      </w:pPr>
      <w:r>
        <w:t xml:space="preserve">Note: This measure refers to data </w:t>
      </w:r>
      <w:r>
        <w:t>from the previous calendar year. Data excludes destinations recorded as 'Unknown'.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05"/>
        <w:gridCol w:w="1106"/>
        <w:gridCol w:w="1105"/>
        <w:gridCol w:w="1106"/>
        <w:gridCol w:w="1106"/>
      </w:tblGrid>
      <w:tr w:rsidR="00295443" w14:paraId="675575C2" w14:textId="77777777" w:rsidTr="00875122">
        <w:trPr>
          <w:trHeight w:hRule="exact" w:val="510"/>
        </w:trPr>
        <w:tc>
          <w:tcPr>
            <w:tcW w:w="3539" w:type="dxa"/>
            <w:noWrap/>
            <w:vAlign w:val="center"/>
          </w:tcPr>
          <w:p w14:paraId="29F10C2A" w14:textId="77777777" w:rsidR="00EF56FD" w:rsidRPr="00FD6A2F" w:rsidRDefault="00EF56FD" w:rsidP="004071E1">
            <w:pPr>
              <w:spacing w:after="0" w:line="240" w:lineRule="auto"/>
              <w:rPr>
                <w:b/>
                <w:bCs/>
              </w:rPr>
            </w:pPr>
            <w:r w:rsidRPr="00FD6A2F">
              <w:rPr>
                <w:b/>
                <w:bCs/>
              </w:rPr>
              <w:t xml:space="preserve">Student </w:t>
            </w:r>
            <w:r>
              <w:rPr>
                <w:b/>
                <w:bCs/>
              </w:rPr>
              <w:t>Exits</w:t>
            </w:r>
          </w:p>
        </w:tc>
        <w:tc>
          <w:tcPr>
            <w:tcW w:w="1105" w:type="dxa"/>
            <w:noWrap/>
            <w:vAlign w:val="center"/>
          </w:tcPr>
          <w:p w14:paraId="1F6C6FCA" w14:textId="77777777" w:rsidR="00EF56FD" w:rsidRPr="00786F79" w:rsidRDefault="00EF56FD"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Pr>
                <w:rFonts w:eastAsia="Times New Roman"/>
                <w:color w:val="000000"/>
                <w:lang w:val="en-AU" w:eastAsia="en-AU"/>
              </w:rPr>
              <w:t>19</w:t>
            </w:r>
          </w:p>
        </w:tc>
        <w:tc>
          <w:tcPr>
            <w:tcW w:w="1106" w:type="dxa"/>
            <w:noWrap/>
            <w:vAlign w:val="center"/>
          </w:tcPr>
          <w:p w14:paraId="1E096BA1"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2020</w:t>
            </w:r>
          </w:p>
        </w:tc>
        <w:tc>
          <w:tcPr>
            <w:tcW w:w="1105" w:type="dxa"/>
            <w:noWrap/>
            <w:vAlign w:val="center"/>
          </w:tcPr>
          <w:p w14:paraId="6A72D1C2"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2021</w:t>
            </w:r>
          </w:p>
        </w:tc>
        <w:tc>
          <w:tcPr>
            <w:tcW w:w="1106" w:type="dxa"/>
            <w:noWrap/>
            <w:vAlign w:val="center"/>
          </w:tcPr>
          <w:p w14:paraId="51E5EA40"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2022</w:t>
            </w:r>
          </w:p>
        </w:tc>
        <w:tc>
          <w:tcPr>
            <w:tcW w:w="1106" w:type="dxa"/>
            <w:noWrap/>
            <w:vAlign w:val="center"/>
          </w:tcPr>
          <w:p w14:paraId="7C586CDE" w14:textId="77777777" w:rsidR="00EF56FD" w:rsidRPr="00786F79" w:rsidRDefault="00EF56FD"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4-year average</w:t>
            </w:r>
          </w:p>
        </w:tc>
      </w:tr>
      <w:tr w:rsidR="00295443" w14:paraId="23BBCCFA" w14:textId="77777777" w:rsidTr="004071E1">
        <w:trPr>
          <w:trHeight w:hRule="exact" w:val="680"/>
        </w:trPr>
        <w:tc>
          <w:tcPr>
            <w:tcW w:w="3539" w:type="dxa"/>
            <w:noWrap/>
            <w:vAlign w:val="center"/>
          </w:tcPr>
          <w:p w14:paraId="54939015" w14:textId="77777777" w:rsidR="00EF56FD" w:rsidRDefault="00EF56FD" w:rsidP="004071E1">
            <w:pPr>
              <w:spacing w:after="0" w:line="240" w:lineRule="auto"/>
            </w:pPr>
            <w:r w:rsidRPr="00744FAA">
              <w:rPr>
                <w:rFonts w:eastAsia="Times New Roman"/>
                <w:color w:val="000000"/>
                <w:lang w:val="en-AU" w:eastAsia="en-AU"/>
              </w:rPr>
              <w:t>School percent of students with positive destinations</w:t>
            </w:r>
            <w:r w:rsidRPr="006F0563">
              <w:rPr>
                <w:rFonts w:eastAsia="Times New Roman"/>
                <w:color w:val="000000"/>
                <w:lang w:val="en-AU" w:eastAsia="en-AU"/>
              </w:rPr>
              <w:t>:</w:t>
            </w:r>
          </w:p>
        </w:tc>
        <w:tc>
          <w:tcPr>
            <w:tcW w:w="1105" w:type="dxa"/>
            <w:shd w:val="clear" w:color="auto" w:fill="FFC000"/>
            <w:noWrap/>
            <w:vAlign w:val="center"/>
          </w:tcPr>
          <w:p w14:paraId="3C0B5217"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100.0%</w:t>
            </w:r>
          </w:p>
        </w:tc>
        <w:tc>
          <w:tcPr>
            <w:tcW w:w="1106" w:type="dxa"/>
            <w:shd w:val="clear" w:color="auto" w:fill="FFC000"/>
            <w:noWrap/>
            <w:vAlign w:val="center"/>
          </w:tcPr>
          <w:p w14:paraId="19591BBE"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100.0%</w:t>
            </w:r>
          </w:p>
        </w:tc>
        <w:tc>
          <w:tcPr>
            <w:tcW w:w="1105" w:type="dxa"/>
            <w:shd w:val="clear" w:color="auto" w:fill="FFC000"/>
            <w:noWrap/>
            <w:vAlign w:val="center"/>
          </w:tcPr>
          <w:p w14:paraId="0A8A0445"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62.5%</w:t>
            </w:r>
          </w:p>
        </w:tc>
        <w:tc>
          <w:tcPr>
            <w:tcW w:w="1106" w:type="dxa"/>
            <w:shd w:val="clear" w:color="auto" w:fill="FFC000"/>
            <w:noWrap/>
            <w:vAlign w:val="center"/>
          </w:tcPr>
          <w:p w14:paraId="6BD2800A"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25.0%</w:t>
            </w:r>
          </w:p>
        </w:tc>
        <w:tc>
          <w:tcPr>
            <w:tcW w:w="1106" w:type="dxa"/>
            <w:shd w:val="clear" w:color="auto" w:fill="FFC000"/>
            <w:noWrap/>
            <w:vAlign w:val="center"/>
          </w:tcPr>
          <w:p w14:paraId="0586E996" w14:textId="77777777" w:rsidR="00EF56FD" w:rsidRPr="00786F79" w:rsidRDefault="00EF56FD"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70.7%</w:t>
            </w:r>
          </w:p>
        </w:tc>
      </w:tr>
    </w:tbl>
    <w:p w14:paraId="76B3501C" w14:textId="77777777" w:rsidR="00EF56FD" w:rsidRDefault="00EF56FD" w:rsidP="00FD6A2F">
      <w:pPr>
        <w:pStyle w:val="ESBodyText0"/>
        <w:spacing w:after="240"/>
      </w:pPr>
    </w:p>
    <w:p w14:paraId="58153257" w14:textId="77777777" w:rsidR="00EF56FD" w:rsidRPr="00161AA7" w:rsidRDefault="00EF56FD" w:rsidP="00D4348E">
      <w:pPr>
        <w:pStyle w:val="ESHeading10"/>
        <w:rPr>
          <w:color w:val="auto"/>
          <w:sz w:val="18"/>
          <w:szCs w:val="18"/>
        </w:rPr>
      </w:pPr>
      <w:r>
        <w:br w:type="page"/>
      </w:r>
    </w:p>
    <w:p w14:paraId="40390A4C" w14:textId="77777777" w:rsidR="00EF56FD" w:rsidRPr="006479D4" w:rsidRDefault="00EF56FD" w:rsidP="006479D4">
      <w:pPr>
        <w:pStyle w:val="Style10"/>
      </w:pPr>
      <w:r w:rsidRPr="0003143F">
        <w:rPr>
          <w:b/>
          <w:bCs w:val="0"/>
          <w:sz w:val="44"/>
          <w:szCs w:val="44"/>
        </w:rPr>
        <w:lastRenderedPageBreak/>
        <w:t xml:space="preserve">Financial </w:t>
      </w:r>
      <w:r w:rsidRPr="0003143F">
        <w:rPr>
          <w:b/>
          <w:bCs w:val="0"/>
          <w:sz w:val="44"/>
          <w:szCs w:val="44"/>
        </w:rPr>
        <w:t>Performance and Position</w:t>
      </w:r>
    </w:p>
    <w:p w14:paraId="674CE584" w14:textId="77777777" w:rsidR="00EF56FD" w:rsidRPr="0003143F" w:rsidRDefault="00EF56FD" w:rsidP="0003143F">
      <w:pPr>
        <w:pStyle w:val="ESHeading2"/>
        <w:spacing w:after="480"/>
        <w:rPr>
          <w:b w:val="0"/>
          <w:bCs w:val="0"/>
          <w:sz w:val="24"/>
          <w:szCs w:val="24"/>
        </w:rPr>
      </w:pPr>
      <w:r w:rsidRPr="0003143F">
        <w:rPr>
          <w:b w:val="0"/>
          <w:bCs w:val="0"/>
          <w:sz w:val="24"/>
          <w:szCs w:val="24"/>
        </w:rPr>
        <w:t xml:space="preserve">Financial Performance - Operating Statement Summary for the year ending 31 </w:t>
      </w:r>
      <w:proofErr w:type="gramStart"/>
      <w:r w:rsidRPr="0003143F">
        <w:rPr>
          <w:b w:val="0"/>
          <w:bCs w:val="0"/>
          <w:sz w:val="24"/>
          <w:szCs w:val="24"/>
        </w:rPr>
        <w:t>December,</w:t>
      </w:r>
      <w:proofErr w:type="gramEnd"/>
      <w:r w:rsidRPr="0003143F">
        <w:rPr>
          <w:b w:val="0"/>
          <w:bCs w:val="0"/>
          <w:sz w:val="24"/>
          <w:szCs w:val="24"/>
        </w:rPr>
        <w:t xml:space="preserve"> </w:t>
      </w:r>
      <w:r>
        <w:rPr>
          <w:b w:val="0"/>
          <w:bCs w:val="0"/>
          <w:sz w:val="24"/>
          <w:szCs w:val="24"/>
        </w:rPr>
        <w:t>2023</w:t>
      </w:r>
    </w:p>
    <w:tbl>
      <w:tblPr>
        <w:tblStyle w:val="GridTable2-Accent612"/>
        <w:tblW w:w="2876" w:type="pct"/>
        <w:jc w:val="center"/>
        <w:tblLook w:val="04A0" w:firstRow="1" w:lastRow="0" w:firstColumn="1" w:lastColumn="0" w:noHBand="0" w:noVBand="1"/>
        <w:tblCaption w:val="Finance - Expenditure table"/>
      </w:tblPr>
      <w:tblGrid>
        <w:gridCol w:w="4428"/>
        <w:gridCol w:w="1765"/>
      </w:tblGrid>
      <w:tr w:rsidR="00295443" w14:paraId="042DD146" w14:textId="77777777" w:rsidTr="0029544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0C0DE5FA" w14:textId="77777777" w:rsidR="00EF56FD" w:rsidRDefault="00EF56FD">
            <w:pPr>
              <w:spacing w:before="40" w:after="40" w:line="240" w:lineRule="auto"/>
              <w:rPr>
                <w:rFonts w:cs="Times New Roman"/>
                <w:color w:val="FFFFFF"/>
                <w:szCs w:val="22"/>
              </w:rPr>
            </w:pPr>
            <w:bookmarkStart w:id="0" w:name="Table_2"/>
            <w:r w:rsidRPr="00243D95">
              <w:rPr>
                <w:rFonts w:cs="Times New Roman"/>
                <w:bCs w:val="0"/>
                <w:szCs w:val="22"/>
              </w:rPr>
              <w:t>Revenue</w:t>
            </w:r>
          </w:p>
        </w:tc>
        <w:tc>
          <w:tcPr>
            <w:tcW w:w="1425" w:type="pct"/>
            <w:tcBorders>
              <w:left w:val="single" w:sz="4" w:space="0" w:color="FFFFFF" w:themeColor="background1"/>
              <w:bottom w:val="single" w:sz="4" w:space="0" w:color="FFFFFF" w:themeColor="background1"/>
            </w:tcBorders>
            <w:shd w:val="clear" w:color="auto" w:fill="FFC000"/>
            <w:vAlign w:val="center"/>
            <w:hideMark/>
          </w:tcPr>
          <w:p w14:paraId="0C3C6650" w14:textId="77777777" w:rsidR="00EF56FD" w:rsidRPr="003666F6" w:rsidRDefault="00EF56F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295443" w14:paraId="6432170F"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nil"/>
            </w:tcBorders>
            <w:shd w:val="clear" w:color="auto" w:fill="D9D9D9" w:themeFill="background1" w:themeFillShade="D9"/>
            <w:noWrap/>
            <w:vAlign w:val="center"/>
            <w:hideMark/>
          </w:tcPr>
          <w:p w14:paraId="6CC22579" w14:textId="77777777" w:rsidR="00EF56FD" w:rsidRDefault="00EF56FD" w:rsidP="00161AA7">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left w:val="nil"/>
              <w:bottom w:val="nil"/>
            </w:tcBorders>
            <w:shd w:val="clear" w:color="auto" w:fill="D9D9D9" w:themeFill="background1" w:themeFillShade="D9"/>
            <w:noWrap/>
          </w:tcPr>
          <w:p w14:paraId="6F2471E3"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$13,630,283</w:t>
            </w:r>
          </w:p>
        </w:tc>
      </w:tr>
      <w:tr w:rsidR="00295443" w14:paraId="58A32494"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hideMark/>
          </w:tcPr>
          <w:p w14:paraId="70AB958E" w14:textId="77777777" w:rsidR="00EF56FD" w:rsidRDefault="00EF56FD" w:rsidP="00161AA7">
            <w:pPr>
              <w:spacing w:before="40" w:after="40" w:line="240" w:lineRule="auto"/>
              <w:rPr>
                <w:rFonts w:cs="Times New Roman"/>
                <w:szCs w:val="22"/>
              </w:rPr>
            </w:pPr>
            <w:r>
              <w:rPr>
                <w:rFonts w:cs="Times New Roman"/>
                <w:b w:val="0"/>
                <w:szCs w:val="22"/>
              </w:rPr>
              <w:t>Government Provided DET Grants</w:t>
            </w:r>
          </w:p>
        </w:tc>
        <w:tc>
          <w:tcPr>
            <w:tcW w:w="1425" w:type="pct"/>
            <w:tcBorders>
              <w:top w:val="nil"/>
              <w:left w:val="nil"/>
              <w:bottom w:val="nil"/>
            </w:tcBorders>
            <w:shd w:val="clear" w:color="auto" w:fill="F2F2F2" w:themeFill="background1" w:themeFillShade="F2"/>
            <w:noWrap/>
          </w:tcPr>
          <w:p w14:paraId="01955323"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$689,252</w:t>
            </w:r>
          </w:p>
        </w:tc>
      </w:tr>
      <w:tr w:rsidR="00295443" w14:paraId="03756C98"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hideMark/>
          </w:tcPr>
          <w:p w14:paraId="05BF2AD2" w14:textId="77777777" w:rsidR="00EF56FD" w:rsidRDefault="00EF56FD" w:rsidP="00161AA7">
            <w:pPr>
              <w:spacing w:before="40" w:after="40" w:line="240" w:lineRule="auto"/>
              <w:rPr>
                <w:rFonts w:cs="Times New Roman"/>
                <w:szCs w:val="22"/>
              </w:rPr>
            </w:pPr>
            <w:r>
              <w:rPr>
                <w:rFonts w:cs="Times New Roman"/>
                <w:b w:val="0"/>
                <w:szCs w:val="22"/>
              </w:rPr>
              <w:t>Government Grants Commonwealth</w:t>
            </w:r>
          </w:p>
        </w:tc>
        <w:tc>
          <w:tcPr>
            <w:tcW w:w="1425" w:type="pct"/>
            <w:tcBorders>
              <w:top w:val="nil"/>
              <w:left w:val="nil"/>
              <w:bottom w:val="nil"/>
            </w:tcBorders>
            <w:shd w:val="clear" w:color="auto" w:fill="D9D9D9" w:themeFill="background1" w:themeFillShade="D9"/>
            <w:noWrap/>
          </w:tcPr>
          <w:p w14:paraId="11DA6C32"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$12,700</w:t>
            </w:r>
          </w:p>
        </w:tc>
      </w:tr>
      <w:tr w:rsidR="00295443" w14:paraId="05201CF8"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hideMark/>
          </w:tcPr>
          <w:p w14:paraId="4AD3C00F" w14:textId="77777777" w:rsidR="00EF56FD" w:rsidRDefault="00EF56FD" w:rsidP="00161AA7">
            <w:pPr>
              <w:spacing w:before="40" w:after="40" w:line="240" w:lineRule="auto"/>
              <w:rPr>
                <w:rFonts w:cs="Times New Roman"/>
                <w:szCs w:val="22"/>
              </w:rPr>
            </w:pPr>
            <w:r>
              <w:rPr>
                <w:rFonts w:cs="Times New Roman"/>
                <w:b w:val="0"/>
                <w:szCs w:val="22"/>
              </w:rPr>
              <w:t>Government Grants State</w:t>
            </w:r>
          </w:p>
        </w:tc>
        <w:tc>
          <w:tcPr>
            <w:tcW w:w="1425" w:type="pct"/>
            <w:tcBorders>
              <w:top w:val="nil"/>
              <w:left w:val="nil"/>
              <w:bottom w:val="nil"/>
            </w:tcBorders>
            <w:shd w:val="clear" w:color="auto" w:fill="F2F2F2" w:themeFill="background1" w:themeFillShade="F2"/>
            <w:noWrap/>
          </w:tcPr>
          <w:p w14:paraId="387BEC2C"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$5,000</w:t>
            </w:r>
          </w:p>
        </w:tc>
      </w:tr>
      <w:tr w:rsidR="00295443" w14:paraId="56717B19"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hideMark/>
          </w:tcPr>
          <w:p w14:paraId="3C04066C" w14:textId="77777777" w:rsidR="00EF56FD" w:rsidRDefault="00EF56FD" w:rsidP="00161AA7">
            <w:pPr>
              <w:spacing w:before="40" w:after="40" w:line="240" w:lineRule="auto"/>
              <w:rPr>
                <w:rFonts w:cs="Times New Roman"/>
                <w:szCs w:val="22"/>
              </w:rPr>
            </w:pPr>
            <w:r>
              <w:rPr>
                <w:rFonts w:cs="Times New Roman"/>
                <w:b w:val="0"/>
                <w:bCs w:val="0"/>
                <w:szCs w:val="22"/>
              </w:rPr>
              <w:t>Revenue Other</w:t>
            </w:r>
          </w:p>
        </w:tc>
        <w:tc>
          <w:tcPr>
            <w:tcW w:w="1425" w:type="pct"/>
            <w:tcBorders>
              <w:top w:val="nil"/>
              <w:left w:val="nil"/>
              <w:bottom w:val="nil"/>
            </w:tcBorders>
            <w:shd w:val="clear" w:color="auto" w:fill="D9D9D9" w:themeFill="background1" w:themeFillShade="D9"/>
            <w:noWrap/>
          </w:tcPr>
          <w:p w14:paraId="01773D26"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$81,909</w:t>
            </w:r>
          </w:p>
        </w:tc>
      </w:tr>
      <w:tr w:rsidR="00295443" w14:paraId="184CDB50"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5A8C52EF" w14:textId="77777777" w:rsidR="00EF56FD" w:rsidRDefault="00EF56FD" w:rsidP="00161AA7">
            <w:pPr>
              <w:spacing w:before="40" w:after="40" w:line="240" w:lineRule="auto"/>
              <w:rPr>
                <w:rFonts w:cs="Times New Roman"/>
                <w:szCs w:val="22"/>
              </w:rPr>
            </w:pPr>
            <w:r>
              <w:rPr>
                <w:rFonts w:cs="Times New Roman"/>
                <w:b w:val="0"/>
                <w:bCs w:val="0"/>
                <w:szCs w:val="22"/>
              </w:rPr>
              <w:t>Locally Raised Funds</w:t>
            </w:r>
          </w:p>
        </w:tc>
        <w:tc>
          <w:tcPr>
            <w:tcW w:w="1425" w:type="pct"/>
            <w:tcBorders>
              <w:top w:val="nil"/>
              <w:left w:val="nil"/>
              <w:bottom w:val="nil"/>
            </w:tcBorders>
            <w:shd w:val="clear" w:color="auto" w:fill="F2F2F2" w:themeFill="background1" w:themeFillShade="F2"/>
            <w:noWrap/>
          </w:tcPr>
          <w:p w14:paraId="545692DC"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$36,058</w:t>
            </w:r>
          </w:p>
        </w:tc>
      </w:tr>
      <w:tr w:rsidR="00295443" w14:paraId="0D4CFD32"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4" w:space="0" w:color="FFFFFF" w:themeColor="background1"/>
              <w:right w:val="nil"/>
            </w:tcBorders>
            <w:shd w:val="clear" w:color="auto" w:fill="D9D9D9" w:themeFill="background1" w:themeFillShade="D9"/>
            <w:noWrap/>
            <w:vAlign w:val="center"/>
          </w:tcPr>
          <w:p w14:paraId="57865A49" w14:textId="77777777" w:rsidR="00EF56FD" w:rsidRPr="007A1EF3" w:rsidRDefault="00EF56FD" w:rsidP="00161AA7">
            <w:pPr>
              <w:spacing w:before="40" w:after="40" w:line="240" w:lineRule="auto"/>
              <w:rPr>
                <w:rFonts w:cs="Times New Roman"/>
                <w:szCs w:val="22"/>
              </w:rPr>
            </w:pPr>
            <w:r>
              <w:rPr>
                <w:rFonts w:cs="Times New Roman"/>
                <w:b w:val="0"/>
                <w:szCs w:val="22"/>
              </w:rPr>
              <w:t>Capital Grants</w:t>
            </w:r>
          </w:p>
        </w:tc>
        <w:tc>
          <w:tcPr>
            <w:tcW w:w="1425" w:type="pct"/>
            <w:tcBorders>
              <w:top w:val="nil"/>
              <w:left w:val="nil"/>
              <w:bottom w:val="single" w:sz="4" w:space="0" w:color="FFFFFF" w:themeColor="background1"/>
            </w:tcBorders>
            <w:shd w:val="clear" w:color="auto" w:fill="D9D9D9" w:themeFill="background1" w:themeFillShade="D9"/>
            <w:noWrap/>
          </w:tcPr>
          <w:p w14:paraId="584294A2"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2BB56D5D"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5D9A21AE" w14:textId="77777777" w:rsidR="00EF56FD" w:rsidRDefault="00EF56FD" w:rsidP="00161AA7">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bottom w:val="nil"/>
            </w:tcBorders>
            <w:shd w:val="clear" w:color="auto" w:fill="FFC000"/>
            <w:noWrap/>
          </w:tcPr>
          <w:p w14:paraId="7D0B0B17" w14:textId="77777777" w:rsidR="00EF56FD" w:rsidRPr="003666F6" w:rsidRDefault="00EF56FD"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$14,455,202</w:t>
            </w:r>
          </w:p>
        </w:tc>
      </w:tr>
      <w:bookmarkEnd w:id="0"/>
    </w:tbl>
    <w:p w14:paraId="6A3153F0" w14:textId="77777777" w:rsidR="00EF56FD" w:rsidRDefault="00EF56FD" w:rsidP="0003143F">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428"/>
        <w:gridCol w:w="1765"/>
      </w:tblGrid>
      <w:tr w:rsidR="00295443" w14:paraId="41A3C0FC" w14:textId="77777777" w:rsidTr="0029544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noWrap/>
            <w:vAlign w:val="center"/>
          </w:tcPr>
          <w:p w14:paraId="016DFF26" w14:textId="77777777" w:rsidR="00EF56FD" w:rsidRPr="003666F6" w:rsidRDefault="00EF56FD">
            <w:pPr>
              <w:spacing w:before="40" w:after="40" w:line="240" w:lineRule="auto"/>
              <w:rPr>
                <w:rFonts w:cs="Times New Roman"/>
                <w:szCs w:val="22"/>
                <w:vertAlign w:val="superscript"/>
              </w:rPr>
            </w:pPr>
            <w:r w:rsidRPr="003666F6">
              <w:rPr>
                <w:rFonts w:cs="Times New Roman"/>
                <w:bCs w:val="0"/>
                <w:szCs w:val="22"/>
              </w:rPr>
              <w:t xml:space="preserve">Equity </w:t>
            </w:r>
            <w:r w:rsidRPr="003666F6">
              <w:rPr>
                <w:rFonts w:cs="Times New Roman"/>
                <w:bCs w:val="0"/>
                <w:szCs w:val="22"/>
                <w:vertAlign w:val="superscript"/>
              </w:rPr>
              <w:t>1</w:t>
            </w:r>
          </w:p>
        </w:tc>
        <w:tc>
          <w:tcPr>
            <w:tcW w:w="1425" w:type="pct"/>
            <w:tcBorders>
              <w:left w:val="single" w:sz="4" w:space="0" w:color="FFFFFF" w:themeColor="background1"/>
              <w:bottom w:val="single" w:sz="4" w:space="0" w:color="FFFFFF" w:themeColor="background1"/>
            </w:tcBorders>
            <w:shd w:val="clear" w:color="auto" w:fill="FFC000"/>
            <w:noWrap/>
            <w:vAlign w:val="center"/>
          </w:tcPr>
          <w:p w14:paraId="73E209ED" w14:textId="77777777" w:rsidR="00EF56FD" w:rsidRPr="003666F6" w:rsidRDefault="00EF56F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295443" w14:paraId="02603EC3"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nil"/>
            </w:tcBorders>
            <w:shd w:val="clear" w:color="auto" w:fill="D9D9D9" w:themeFill="background1" w:themeFillShade="D9"/>
            <w:noWrap/>
            <w:vAlign w:val="center"/>
          </w:tcPr>
          <w:p w14:paraId="422F5A8A" w14:textId="77777777" w:rsidR="00EF56FD" w:rsidRDefault="00EF56FD" w:rsidP="00161AA7">
            <w:pPr>
              <w:spacing w:before="40" w:after="40" w:line="240" w:lineRule="auto"/>
              <w:rPr>
                <w:rFonts w:cs="Times New Roman"/>
                <w:szCs w:val="22"/>
              </w:rPr>
            </w:pPr>
            <w:r>
              <w:rPr>
                <w:rFonts w:cs="Times New Roman"/>
                <w:b w:val="0"/>
                <w:szCs w:val="22"/>
              </w:rPr>
              <w:t>Equity (Social Disadvantage)</w:t>
            </w:r>
          </w:p>
        </w:tc>
        <w:tc>
          <w:tcPr>
            <w:tcW w:w="1425" w:type="pct"/>
            <w:tcBorders>
              <w:top w:val="single" w:sz="4" w:space="0" w:color="FFFFFF" w:themeColor="background1"/>
              <w:left w:val="nil"/>
              <w:bottom w:val="nil"/>
            </w:tcBorders>
            <w:shd w:val="clear" w:color="auto" w:fill="D9D9D9" w:themeFill="background1" w:themeFillShade="D9"/>
            <w:noWrap/>
          </w:tcPr>
          <w:p w14:paraId="2DB1358D"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$54,092</w:t>
            </w:r>
          </w:p>
        </w:tc>
      </w:tr>
      <w:tr w:rsidR="00295443" w14:paraId="48E64637"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41547ED4" w14:textId="77777777" w:rsidR="00EF56FD" w:rsidRDefault="00EF56FD" w:rsidP="00161AA7">
            <w:pPr>
              <w:spacing w:before="40" w:after="40" w:line="240" w:lineRule="auto"/>
              <w:rPr>
                <w:rFonts w:cs="Times New Roman"/>
                <w:szCs w:val="22"/>
              </w:rPr>
            </w:pPr>
            <w:r>
              <w:rPr>
                <w:rFonts w:cs="Times New Roman"/>
                <w:b w:val="0"/>
                <w:szCs w:val="22"/>
              </w:rPr>
              <w:t>Equity (Catch Up)</w:t>
            </w:r>
          </w:p>
        </w:tc>
        <w:tc>
          <w:tcPr>
            <w:tcW w:w="1425" w:type="pct"/>
            <w:tcBorders>
              <w:top w:val="nil"/>
              <w:left w:val="nil"/>
              <w:bottom w:val="nil"/>
            </w:tcBorders>
            <w:shd w:val="clear" w:color="auto" w:fill="F2F2F2" w:themeFill="background1" w:themeFillShade="F2"/>
            <w:noWrap/>
          </w:tcPr>
          <w:p w14:paraId="61926980"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4FC5199E"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tcPr>
          <w:p w14:paraId="45208957" w14:textId="77777777" w:rsidR="00EF56FD" w:rsidRDefault="00EF56FD" w:rsidP="00161AA7">
            <w:pPr>
              <w:spacing w:before="40" w:after="40" w:line="240" w:lineRule="auto"/>
              <w:rPr>
                <w:rFonts w:cs="Times New Roman"/>
                <w:szCs w:val="22"/>
              </w:rPr>
            </w:pPr>
            <w:r>
              <w:rPr>
                <w:rFonts w:cs="Times New Roman"/>
                <w:b w:val="0"/>
                <w:szCs w:val="22"/>
              </w:rPr>
              <w:t>Transition Funding</w:t>
            </w:r>
          </w:p>
        </w:tc>
        <w:tc>
          <w:tcPr>
            <w:tcW w:w="1425" w:type="pct"/>
            <w:tcBorders>
              <w:top w:val="nil"/>
              <w:left w:val="nil"/>
              <w:bottom w:val="nil"/>
            </w:tcBorders>
            <w:shd w:val="clear" w:color="auto" w:fill="D9D9D9" w:themeFill="background1" w:themeFillShade="D9"/>
            <w:noWrap/>
          </w:tcPr>
          <w:p w14:paraId="0C41B4E3"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4FA40103"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4" w:space="0" w:color="FFFFFF" w:themeColor="background1"/>
              <w:right w:val="nil"/>
            </w:tcBorders>
            <w:shd w:val="clear" w:color="auto" w:fill="F2F2F2" w:themeFill="background1" w:themeFillShade="F2"/>
            <w:noWrap/>
            <w:vAlign w:val="center"/>
          </w:tcPr>
          <w:p w14:paraId="5774A23B" w14:textId="77777777" w:rsidR="00EF56FD" w:rsidRDefault="00EF56FD" w:rsidP="00161AA7">
            <w:pPr>
              <w:spacing w:before="40" w:after="40"/>
              <w:rPr>
                <w:rFonts w:cs="Times New Roman"/>
                <w:szCs w:val="22"/>
              </w:rPr>
            </w:pPr>
            <w:r>
              <w:rPr>
                <w:rFonts w:cs="Times New Roman"/>
                <w:b w:val="0"/>
                <w:szCs w:val="22"/>
              </w:rPr>
              <w:t xml:space="preserve">Equity </w:t>
            </w:r>
            <w:r>
              <w:rPr>
                <w:rFonts w:cs="Times New Roman"/>
                <w:b w:val="0"/>
                <w:szCs w:val="22"/>
              </w:rPr>
              <w:t>(Social Disadvantage – Extraordinary Growth)</w:t>
            </w:r>
          </w:p>
          <w:p w14:paraId="3080977D" w14:textId="77777777" w:rsidR="00EF56FD" w:rsidRDefault="00EF56FD" w:rsidP="00161AA7">
            <w:pPr>
              <w:spacing w:before="40" w:after="40" w:line="240" w:lineRule="auto"/>
              <w:rPr>
                <w:rFonts w:cs="Times New Roman"/>
                <w:color w:val="FFFFFF"/>
                <w:szCs w:val="22"/>
              </w:rPr>
            </w:pPr>
          </w:p>
        </w:tc>
        <w:tc>
          <w:tcPr>
            <w:tcW w:w="1425" w:type="pct"/>
            <w:tcBorders>
              <w:top w:val="nil"/>
              <w:left w:val="nil"/>
              <w:bottom w:val="single" w:sz="4" w:space="0" w:color="FFFFFF" w:themeColor="background1"/>
            </w:tcBorders>
            <w:shd w:val="clear" w:color="auto" w:fill="F2F2F2" w:themeFill="background1" w:themeFillShade="F2"/>
            <w:noWrap/>
          </w:tcPr>
          <w:p w14:paraId="50405905"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3354E68F"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14:paraId="61C7B504" w14:textId="77777777" w:rsidR="00EF56FD" w:rsidRDefault="00EF56FD" w:rsidP="0003143F">
            <w:pPr>
              <w:spacing w:before="40" w:after="40" w:line="240" w:lineRule="auto"/>
              <w:rPr>
                <w:rFonts w:cs="Times New Roman"/>
                <w:szCs w:val="22"/>
              </w:rPr>
            </w:pPr>
            <w:r>
              <w:rPr>
                <w:rFonts w:cs="Times New Roman"/>
                <w:szCs w:val="22"/>
              </w:rPr>
              <w:t>Equity Total</w:t>
            </w:r>
          </w:p>
        </w:tc>
        <w:tc>
          <w:tcPr>
            <w:tcW w:w="1425" w:type="pct"/>
            <w:tcBorders>
              <w:top w:val="single" w:sz="4" w:space="0" w:color="FFFFFF" w:themeColor="background1"/>
              <w:left w:val="single" w:sz="4" w:space="0" w:color="FFFFFF" w:themeColor="background1"/>
              <w:bottom w:val="nil"/>
            </w:tcBorders>
            <w:shd w:val="clear" w:color="auto" w:fill="FFC000"/>
            <w:noWrap/>
          </w:tcPr>
          <w:p w14:paraId="45784DFE" w14:textId="77777777" w:rsidR="00EF56FD" w:rsidRPr="003666F6" w:rsidRDefault="00EF56FD" w:rsidP="00161AA7">
            <w:pPr>
              <w:jc w:val="right"/>
              <w:cnfStyle w:val="000000100000" w:firstRow="0" w:lastRow="0" w:firstColumn="0" w:lastColumn="0" w:oddVBand="0" w:evenVBand="0" w:oddHBand="1" w:evenHBand="0" w:firstRowFirstColumn="0" w:firstRowLastColumn="0" w:lastRowFirstColumn="0" w:lastRowLastColumn="0"/>
              <w:rPr>
                <w:b/>
                <w:bCs/>
              </w:rPr>
            </w:pPr>
            <w:r>
              <w:rPr>
                <w:b/>
                <w:bCs/>
              </w:rPr>
              <w:t>$54,092</w:t>
            </w:r>
          </w:p>
        </w:tc>
      </w:tr>
    </w:tbl>
    <w:p w14:paraId="5B1DDB42" w14:textId="77777777" w:rsidR="00EF56FD" w:rsidRDefault="00EF56FD" w:rsidP="0003143F">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95"/>
        <w:gridCol w:w="1798"/>
      </w:tblGrid>
      <w:tr w:rsidR="00295443" w14:paraId="0B09175A" w14:textId="77777777" w:rsidTr="0029544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23714E9E" w14:textId="77777777" w:rsidR="00EF56FD" w:rsidRPr="003666F6" w:rsidRDefault="00EF56FD">
            <w:pPr>
              <w:spacing w:before="40" w:after="40" w:line="240" w:lineRule="auto"/>
              <w:rPr>
                <w:rFonts w:cs="Times New Roman"/>
                <w:szCs w:val="22"/>
              </w:rPr>
            </w:pPr>
            <w:r w:rsidRPr="003666F6">
              <w:rPr>
                <w:rFonts w:cs="Times New Roman"/>
                <w:bCs w:val="0"/>
                <w:szCs w:val="22"/>
              </w:rPr>
              <w:t>Expenditure</w:t>
            </w:r>
          </w:p>
        </w:tc>
        <w:tc>
          <w:tcPr>
            <w:tcW w:w="1452" w:type="pct"/>
            <w:tcBorders>
              <w:left w:val="single" w:sz="4" w:space="0" w:color="FFFFFF" w:themeColor="background1"/>
              <w:bottom w:val="single" w:sz="4" w:space="0" w:color="FFFFFF" w:themeColor="background1"/>
            </w:tcBorders>
            <w:shd w:val="clear" w:color="auto" w:fill="FFC000"/>
            <w:vAlign w:val="center"/>
            <w:hideMark/>
          </w:tcPr>
          <w:p w14:paraId="4CE1BC7E" w14:textId="77777777" w:rsidR="00EF56FD" w:rsidRPr="003666F6" w:rsidRDefault="00EF56F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295443" w14:paraId="724DD452"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hideMark/>
          </w:tcPr>
          <w:p w14:paraId="76D1888C" w14:textId="77777777" w:rsidR="00EF56FD" w:rsidRDefault="00EF56FD" w:rsidP="00161AA7">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4" w:space="0" w:color="FFFFFF" w:themeColor="background1"/>
              <w:left w:val="nil"/>
              <w:bottom w:val="nil"/>
            </w:tcBorders>
            <w:shd w:val="clear" w:color="auto" w:fill="D9D9D9" w:themeFill="background1" w:themeFillShade="D9"/>
            <w:noWrap/>
          </w:tcPr>
          <w:p w14:paraId="5F704D2E"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$11,246,992</w:t>
            </w:r>
          </w:p>
        </w:tc>
      </w:tr>
      <w:tr w:rsidR="00295443" w14:paraId="20CD06F6"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2ED73C3C" w14:textId="77777777" w:rsidR="00EF56FD" w:rsidRDefault="00EF56FD" w:rsidP="00161AA7">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tcBorders>
            <w:shd w:val="clear" w:color="auto" w:fill="F2F2F2" w:themeFill="background1" w:themeFillShade="F2"/>
            <w:noWrap/>
          </w:tcPr>
          <w:p w14:paraId="122E99C0"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5F2F6F10"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7490C549" w14:textId="77777777" w:rsidR="00EF56FD" w:rsidRDefault="00EF56FD" w:rsidP="00161AA7">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tcBorders>
            <w:shd w:val="clear" w:color="auto" w:fill="D9D9D9" w:themeFill="background1" w:themeFillShade="D9"/>
            <w:noWrap/>
          </w:tcPr>
          <w:p w14:paraId="70ED6B04"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$1,746</w:t>
            </w:r>
          </w:p>
        </w:tc>
      </w:tr>
      <w:tr w:rsidR="00295443" w14:paraId="62F426D1"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9C4A755" w14:textId="77777777" w:rsidR="00EF56FD" w:rsidRDefault="00EF56FD" w:rsidP="002B0031">
            <w:pPr>
              <w:spacing w:before="40" w:after="40" w:line="240" w:lineRule="auto"/>
              <w:rPr>
                <w:rFonts w:cs="Times New Roman"/>
                <w:szCs w:val="22"/>
              </w:rPr>
            </w:pPr>
            <w:r w:rsidRPr="0082159F">
              <w:rPr>
                <w:rFonts w:cs="Times New Roman"/>
                <w:b w:val="0"/>
                <w:szCs w:val="22"/>
              </w:rPr>
              <w:t>Camps/Excursions/Activities</w:t>
            </w:r>
          </w:p>
        </w:tc>
        <w:tc>
          <w:tcPr>
            <w:tcW w:w="1452" w:type="pct"/>
            <w:tcBorders>
              <w:top w:val="nil"/>
              <w:left w:val="nil"/>
              <w:bottom w:val="nil"/>
            </w:tcBorders>
            <w:shd w:val="clear" w:color="auto" w:fill="F2F2F2" w:themeFill="background1" w:themeFillShade="F2"/>
            <w:noWrap/>
          </w:tcPr>
          <w:p w14:paraId="48543EA5" w14:textId="77777777" w:rsidR="00EF56FD" w:rsidRDefault="00EF56FD" w:rsidP="002B0031">
            <w:pPr>
              <w:jc w:val="right"/>
              <w:cnfStyle w:val="000000000000" w:firstRow="0" w:lastRow="0" w:firstColumn="0" w:lastColumn="0" w:oddVBand="0" w:evenVBand="0" w:oddHBand="0" w:evenHBand="0" w:firstRowFirstColumn="0" w:firstRowLastColumn="0" w:lastRowFirstColumn="0" w:lastRowLastColumn="0"/>
            </w:pPr>
            <w:r>
              <w:t>$17,305</w:t>
            </w:r>
          </w:p>
        </w:tc>
      </w:tr>
      <w:tr w:rsidR="00295443" w14:paraId="56CC7FC9"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4B8208D3" w14:textId="77777777" w:rsidR="00EF56FD" w:rsidRDefault="00EF56FD" w:rsidP="00161AA7">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tcBorders>
            <w:shd w:val="clear" w:color="auto" w:fill="D9D9D9" w:themeFill="background1" w:themeFillShade="D9"/>
            <w:noWrap/>
          </w:tcPr>
          <w:p w14:paraId="56996BE1"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$8,848</w:t>
            </w:r>
          </w:p>
        </w:tc>
      </w:tr>
      <w:tr w:rsidR="00295443" w14:paraId="179EA7A8"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7E4F352E" w14:textId="77777777" w:rsidR="00EF56FD" w:rsidRDefault="00EF56FD" w:rsidP="00161AA7">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tcBorders>
            <w:shd w:val="clear" w:color="auto" w:fill="F2F2F2" w:themeFill="background1" w:themeFillShade="F2"/>
            <w:noWrap/>
          </w:tcPr>
          <w:p w14:paraId="3FB82CE2"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$64,476</w:t>
            </w:r>
          </w:p>
        </w:tc>
      </w:tr>
      <w:tr w:rsidR="00295443" w14:paraId="479AA60E"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3C928B6F" w14:textId="77777777" w:rsidR="00EF56FD" w:rsidRDefault="00EF56FD" w:rsidP="00161AA7">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tcBorders>
            <w:shd w:val="clear" w:color="auto" w:fill="D9D9D9" w:themeFill="background1" w:themeFillShade="D9"/>
            <w:noWrap/>
          </w:tcPr>
          <w:p w14:paraId="5CFBEC07"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$17,939</w:t>
            </w:r>
          </w:p>
        </w:tc>
      </w:tr>
      <w:tr w:rsidR="00295443" w14:paraId="1B705174"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2E134F1" w14:textId="77777777" w:rsidR="00EF56FD" w:rsidRDefault="00EF56FD" w:rsidP="00161AA7">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tcBorders>
            <w:shd w:val="clear" w:color="auto" w:fill="F2F2F2" w:themeFill="background1" w:themeFillShade="F2"/>
            <w:noWrap/>
          </w:tcPr>
          <w:p w14:paraId="64B8AA76"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$70,506</w:t>
            </w:r>
          </w:p>
        </w:tc>
      </w:tr>
      <w:tr w:rsidR="00295443" w14:paraId="51BF4B62"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3EF187C9" w14:textId="77777777" w:rsidR="00EF56FD" w:rsidRDefault="00EF56FD" w:rsidP="002B0031">
            <w:pPr>
              <w:spacing w:before="40" w:after="40" w:line="240" w:lineRule="auto"/>
              <w:rPr>
                <w:rFonts w:cs="Times New Roman"/>
                <w:szCs w:val="22"/>
              </w:rPr>
            </w:pPr>
            <w:r w:rsidRPr="001257A3">
              <w:rPr>
                <w:rFonts w:cs="Times New Roman"/>
                <w:b w:val="0"/>
                <w:szCs w:val="22"/>
              </w:rPr>
              <w:t>Equipment/Maintenance/Hire</w:t>
            </w:r>
            <w:r>
              <w:rPr>
                <w:rFonts w:cs="Times New Roman"/>
                <w:b w:val="0"/>
                <w:szCs w:val="22"/>
              </w:rPr>
              <w:t xml:space="preserve"> </w:t>
            </w:r>
          </w:p>
        </w:tc>
        <w:tc>
          <w:tcPr>
            <w:tcW w:w="1452" w:type="pct"/>
            <w:tcBorders>
              <w:top w:val="nil"/>
              <w:left w:val="nil"/>
              <w:bottom w:val="nil"/>
            </w:tcBorders>
            <w:shd w:val="clear" w:color="auto" w:fill="D9D9D9" w:themeFill="background1" w:themeFillShade="D9"/>
            <w:noWrap/>
          </w:tcPr>
          <w:p w14:paraId="52F31025" w14:textId="77777777" w:rsidR="00EF56FD" w:rsidRDefault="00EF56FD" w:rsidP="002B0031">
            <w:pPr>
              <w:jc w:val="right"/>
              <w:cnfStyle w:val="000000100000" w:firstRow="0" w:lastRow="0" w:firstColumn="0" w:lastColumn="0" w:oddVBand="0" w:evenVBand="0" w:oddHBand="1" w:evenHBand="0" w:firstRowFirstColumn="0" w:firstRowLastColumn="0" w:lastRowFirstColumn="0" w:lastRowLastColumn="0"/>
            </w:pPr>
            <w:r>
              <w:t>$101,661</w:t>
            </w:r>
          </w:p>
        </w:tc>
      </w:tr>
      <w:tr w:rsidR="00295443" w14:paraId="67D1F1D2"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2BBD6AE" w14:textId="77777777" w:rsidR="00EF56FD" w:rsidRDefault="00EF56FD" w:rsidP="00161AA7">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tcBorders>
            <w:shd w:val="clear" w:color="auto" w:fill="F2F2F2" w:themeFill="background1" w:themeFillShade="F2"/>
            <w:noWrap/>
          </w:tcPr>
          <w:p w14:paraId="6B279026"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$213,388</w:t>
            </w:r>
          </w:p>
        </w:tc>
      </w:tr>
      <w:tr w:rsidR="00295443" w14:paraId="546193E2"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7C36F468" w14:textId="77777777" w:rsidR="00EF56FD" w:rsidRDefault="00EF56FD" w:rsidP="00161AA7">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tcBorders>
            <w:shd w:val="clear" w:color="auto" w:fill="D9D9D9" w:themeFill="background1" w:themeFillShade="D9"/>
            <w:noWrap/>
          </w:tcPr>
          <w:p w14:paraId="634B21EE"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097D9C65"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E731892" w14:textId="77777777" w:rsidR="00EF56FD" w:rsidRDefault="00EF56FD" w:rsidP="00161AA7">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tcBorders>
            <w:shd w:val="clear" w:color="auto" w:fill="F2F2F2" w:themeFill="background1" w:themeFillShade="F2"/>
            <w:noWrap/>
          </w:tcPr>
          <w:p w14:paraId="60828037" w14:textId="77777777" w:rsidR="00EF56FD" w:rsidRPr="00F72FB2" w:rsidRDefault="00EF56FD" w:rsidP="00161AA7">
            <w:pPr>
              <w:jc w:val="right"/>
              <w:cnfStyle w:val="000000000000" w:firstRow="0" w:lastRow="0" w:firstColumn="0" w:lastColumn="0" w:oddVBand="0" w:evenVBand="0" w:oddHBand="0" w:evenHBand="0" w:firstRowFirstColumn="0" w:firstRowLastColumn="0" w:lastRowFirstColumn="0" w:lastRowLastColumn="0"/>
            </w:pPr>
            <w:r>
              <w:t>$23,671</w:t>
            </w:r>
          </w:p>
        </w:tc>
      </w:tr>
      <w:tr w:rsidR="00295443" w14:paraId="67825F12"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32E57D13" w14:textId="77777777" w:rsidR="00EF56FD" w:rsidRDefault="00EF56FD" w:rsidP="00161AA7">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tcBorders>
            <w:shd w:val="clear" w:color="auto" w:fill="D9D9D9" w:themeFill="background1" w:themeFillShade="D9"/>
            <w:noWrap/>
          </w:tcPr>
          <w:p w14:paraId="28FC0617"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$15,110</w:t>
            </w:r>
          </w:p>
        </w:tc>
      </w:tr>
      <w:tr w:rsidR="00295443" w14:paraId="307D452D"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0F8610A8" w14:textId="77777777" w:rsidR="00EF56FD" w:rsidRDefault="00EF56FD" w:rsidP="002B0031">
            <w:pPr>
              <w:spacing w:before="40" w:after="40" w:line="240" w:lineRule="auto"/>
              <w:rPr>
                <w:rFonts w:cs="Times New Roman"/>
                <w:szCs w:val="22"/>
              </w:rPr>
            </w:pPr>
            <w:r>
              <w:rPr>
                <w:rFonts w:cs="Times New Roman"/>
                <w:b w:val="0"/>
                <w:szCs w:val="22"/>
              </w:rPr>
              <w:t xml:space="preserve">Motor </w:t>
            </w:r>
            <w:r>
              <w:rPr>
                <w:rFonts w:cs="Times New Roman"/>
                <w:b w:val="0"/>
                <w:szCs w:val="22"/>
              </w:rPr>
              <w:t>Vehicle Expenses</w:t>
            </w:r>
          </w:p>
        </w:tc>
        <w:tc>
          <w:tcPr>
            <w:tcW w:w="1452" w:type="pct"/>
            <w:tcBorders>
              <w:top w:val="nil"/>
              <w:left w:val="nil"/>
              <w:bottom w:val="nil"/>
            </w:tcBorders>
            <w:shd w:val="clear" w:color="auto" w:fill="F2F2F2" w:themeFill="background1" w:themeFillShade="F2"/>
            <w:noWrap/>
          </w:tcPr>
          <w:p w14:paraId="2539ABB7" w14:textId="77777777" w:rsidR="00EF56FD" w:rsidRDefault="00EF56FD" w:rsidP="002B0031">
            <w:pPr>
              <w:jc w:val="right"/>
              <w:cnfStyle w:val="000000000000" w:firstRow="0" w:lastRow="0" w:firstColumn="0" w:lastColumn="0" w:oddVBand="0" w:evenVBand="0" w:oddHBand="0" w:evenHBand="0" w:firstRowFirstColumn="0" w:firstRowLastColumn="0" w:lastRowFirstColumn="0" w:lastRowLastColumn="0"/>
            </w:pPr>
            <w:r>
              <w:t>$8,573</w:t>
            </w:r>
          </w:p>
        </w:tc>
      </w:tr>
      <w:tr w:rsidR="00295443" w14:paraId="137BDF38"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50D3A3F1" w14:textId="77777777" w:rsidR="00EF56FD" w:rsidRDefault="00EF56FD" w:rsidP="00161AA7">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tcBorders>
            <w:shd w:val="clear" w:color="auto" w:fill="D9D9D9" w:themeFill="background1" w:themeFillShade="D9"/>
            <w:noWrap/>
          </w:tcPr>
          <w:p w14:paraId="62453129"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$506</w:t>
            </w:r>
          </w:p>
        </w:tc>
      </w:tr>
      <w:tr w:rsidR="00295443" w14:paraId="04388AFF"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F2F2F2" w:themeFill="background1" w:themeFillShade="F2"/>
            <w:noWrap/>
            <w:vAlign w:val="center"/>
          </w:tcPr>
          <w:p w14:paraId="122F1B59" w14:textId="77777777" w:rsidR="00EF56FD" w:rsidRDefault="00EF56FD" w:rsidP="00161AA7">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4" w:space="0" w:color="FFFFFF" w:themeColor="background1"/>
            </w:tcBorders>
            <w:shd w:val="clear" w:color="auto" w:fill="F2F2F2" w:themeFill="background1" w:themeFillShade="F2"/>
            <w:noWrap/>
          </w:tcPr>
          <w:p w14:paraId="3438DB0F"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$177,541</w:t>
            </w:r>
          </w:p>
        </w:tc>
      </w:tr>
      <w:tr w:rsidR="00295443" w14:paraId="5CE287D5"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14:paraId="08390320" w14:textId="77777777" w:rsidR="00EF56FD" w:rsidRDefault="00EF56FD" w:rsidP="00161AA7">
            <w:pPr>
              <w:rPr>
                <w:rFonts w:cs="Times New Roman"/>
                <w:szCs w:val="22"/>
              </w:rPr>
            </w:pPr>
            <w:r>
              <w:rPr>
                <w:rFonts w:cs="Times New Roman"/>
                <w:szCs w:val="22"/>
              </w:rPr>
              <w:t>Total Operating Expenditure</w:t>
            </w:r>
          </w:p>
          <w:p w14:paraId="0E3995BB" w14:textId="77777777" w:rsidR="00EF56FD" w:rsidRDefault="00EF56FD" w:rsidP="00161AA7">
            <w:pPr>
              <w:spacing w:before="40" w:after="40" w:line="240" w:lineRule="auto"/>
              <w:rPr>
                <w:rFonts w:cs="Times New Roman"/>
                <w:szCs w:val="22"/>
              </w:rPr>
            </w:pP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FFC000"/>
            <w:noWrap/>
          </w:tcPr>
          <w:p w14:paraId="5231D5C3" w14:textId="77777777" w:rsidR="00EF56FD" w:rsidRPr="003666F6" w:rsidRDefault="00EF56FD" w:rsidP="00161AA7">
            <w:pPr>
              <w:jc w:val="right"/>
              <w:cnfStyle w:val="000000100000" w:firstRow="0" w:lastRow="0" w:firstColumn="0" w:lastColumn="0" w:oddVBand="0" w:evenVBand="0" w:oddHBand="1" w:evenHBand="0" w:firstRowFirstColumn="0" w:firstRowLastColumn="0" w:lastRowFirstColumn="0" w:lastRowLastColumn="0"/>
              <w:rPr>
                <w:b/>
                <w:bCs/>
              </w:rPr>
            </w:pPr>
            <w:r>
              <w:rPr>
                <w:b/>
                <w:bCs/>
              </w:rPr>
              <w:t>$11,968,262</w:t>
            </w:r>
          </w:p>
        </w:tc>
      </w:tr>
      <w:tr w:rsidR="00295443" w14:paraId="0893B4B2"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14:paraId="7981E917" w14:textId="77777777" w:rsidR="00EF56FD" w:rsidRDefault="00EF56FD" w:rsidP="00161AA7">
            <w:pPr>
              <w:rPr>
                <w:rFonts w:cs="Times New Roman"/>
                <w:szCs w:val="22"/>
              </w:rPr>
            </w:pPr>
            <w:r>
              <w:rPr>
                <w:rFonts w:cs="Times New Roman"/>
                <w:szCs w:val="22"/>
              </w:rPr>
              <w:t>Net Operating Surplus/-Deficit</w:t>
            </w: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FFC000"/>
            <w:noWrap/>
          </w:tcPr>
          <w:p w14:paraId="07D81B15" w14:textId="77777777" w:rsidR="00EF56FD" w:rsidRPr="003666F6" w:rsidRDefault="00EF56FD"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$2,486,940</w:t>
            </w:r>
          </w:p>
        </w:tc>
      </w:tr>
      <w:tr w:rsidR="00295443" w14:paraId="58BA3E31"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14:paraId="2587CFC1" w14:textId="77777777" w:rsidR="00EF56FD" w:rsidRDefault="00EF56FD" w:rsidP="00161AA7">
            <w:pPr>
              <w:rPr>
                <w:rFonts w:cs="Times New Roman"/>
                <w:szCs w:val="22"/>
              </w:rPr>
            </w:pPr>
            <w:r>
              <w:rPr>
                <w:rFonts w:cs="Times New Roman"/>
                <w:szCs w:val="22"/>
              </w:rPr>
              <w:t>Asset Acquisitions</w:t>
            </w:r>
          </w:p>
        </w:tc>
        <w:tc>
          <w:tcPr>
            <w:tcW w:w="1452" w:type="pct"/>
            <w:tcBorders>
              <w:top w:val="single" w:sz="4" w:space="0" w:color="FFFFFF" w:themeColor="background1"/>
              <w:left w:val="single" w:sz="4" w:space="0" w:color="FFFFFF" w:themeColor="background1"/>
              <w:bottom w:val="nil"/>
            </w:tcBorders>
            <w:shd w:val="clear" w:color="auto" w:fill="FFC000"/>
            <w:noWrap/>
          </w:tcPr>
          <w:p w14:paraId="6639F6B4" w14:textId="77777777" w:rsidR="00EF56FD" w:rsidRPr="003666F6" w:rsidRDefault="00EF56FD" w:rsidP="00161AA7">
            <w:pPr>
              <w:jc w:val="right"/>
              <w:cnfStyle w:val="000000100000" w:firstRow="0" w:lastRow="0" w:firstColumn="0" w:lastColumn="0" w:oddVBand="0" w:evenVBand="0" w:oddHBand="1" w:evenHBand="0" w:firstRowFirstColumn="0" w:firstRowLastColumn="0" w:lastRowFirstColumn="0" w:lastRowLastColumn="0"/>
              <w:rPr>
                <w:b/>
                <w:bCs/>
              </w:rPr>
            </w:pPr>
            <w:r>
              <w:rPr>
                <w:b/>
                <w:bCs/>
              </w:rPr>
              <w:t>$88,053</w:t>
            </w:r>
          </w:p>
        </w:tc>
      </w:tr>
    </w:tbl>
    <w:p w14:paraId="7BF0BFBB" w14:textId="77777777" w:rsidR="00EF56FD" w:rsidRDefault="00EF56FD" w:rsidP="0003143F">
      <w:pPr>
        <w:pStyle w:val="ESBodyText0"/>
        <w:numPr>
          <w:ilvl w:val="0"/>
          <w:numId w:val="29"/>
        </w:numPr>
      </w:pPr>
      <w:r>
        <w:t xml:space="preserve">The equity funding reported above is a subset of the overall </w:t>
      </w:r>
      <w:r>
        <w:t>revenue reported by the school.</w:t>
      </w:r>
    </w:p>
    <w:p w14:paraId="5DF85248" w14:textId="77777777" w:rsidR="00EF56FD" w:rsidRDefault="00EF56FD" w:rsidP="0003143F">
      <w:pPr>
        <w:pStyle w:val="ESBodyText0"/>
        <w:numPr>
          <w:ilvl w:val="0"/>
          <w:numId w:val="29"/>
        </w:numPr>
      </w:pPr>
      <w:r>
        <w:t>Student Resource Package Expenditure figures are as of 16 Feb 2024 and are subject to change during the reconciliation process.</w:t>
      </w:r>
    </w:p>
    <w:p w14:paraId="1A797CFC" w14:textId="77777777" w:rsidR="00EF56FD" w:rsidRDefault="00EF56FD" w:rsidP="0003143F">
      <w:pPr>
        <w:pStyle w:val="ESBodyText0"/>
        <w:numPr>
          <w:ilvl w:val="0"/>
          <w:numId w:val="29"/>
        </w:numPr>
      </w:pPr>
      <w:r>
        <w:t>Miscellaneous Expenses include bank charges, administration expenses, insurance and taxation charges.</w:t>
      </w:r>
    </w:p>
    <w:p w14:paraId="41BC8772" w14:textId="77777777" w:rsidR="00EF56FD" w:rsidRDefault="00EF56FD" w:rsidP="0003143F">
      <w:pPr>
        <w:pStyle w:val="ESBodyText0"/>
        <w:numPr>
          <w:ilvl w:val="0"/>
          <w:numId w:val="29"/>
        </w:numPr>
      </w:pPr>
      <w:r>
        <w:t>Salaries and Allowances refers to school-level payroll.</w:t>
      </w:r>
    </w:p>
    <w:p w14:paraId="78A4E738" w14:textId="77777777" w:rsidR="00EF56FD" w:rsidRPr="008A4458" w:rsidRDefault="00EF56FD">
      <w:pPr>
        <w:spacing w:after="0" w:line="240" w:lineRule="auto"/>
        <w:rPr>
          <w:rFonts w:eastAsiaTheme="majorEastAsia" w:cstheme="majorBidi"/>
          <w:caps/>
          <w:sz w:val="20"/>
          <w:szCs w:val="20"/>
        </w:rPr>
      </w:pPr>
      <w:r>
        <w:br w:type="page"/>
      </w:r>
    </w:p>
    <w:p w14:paraId="69474222" w14:textId="77777777" w:rsidR="00EF56FD" w:rsidRPr="00D4348E" w:rsidRDefault="00EF56FD" w:rsidP="0003143F">
      <w:pPr>
        <w:pStyle w:val="Style10"/>
        <w:spacing w:before="240" w:after="480" w:line="240" w:lineRule="atLeast"/>
      </w:pPr>
      <w:r w:rsidRPr="00D4348E">
        <w:lastRenderedPageBreak/>
        <w:t>F</w:t>
      </w:r>
      <w:r>
        <w:t xml:space="preserve">INANCIAL POSITION AS AT </w:t>
      </w:r>
      <w:r w:rsidRPr="00D4348E">
        <w:t>31 D</w:t>
      </w:r>
      <w:r>
        <w:t xml:space="preserve">ECEMBER </w:t>
      </w:r>
      <w:r>
        <w:t>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295443" w14:paraId="6CBF1530" w14:textId="77777777" w:rsidTr="0029544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6DC0F6AE" w14:textId="77777777" w:rsidR="00EF56FD" w:rsidRPr="003666F6" w:rsidRDefault="00EF56FD">
            <w:pPr>
              <w:spacing w:before="40" w:after="40" w:line="240" w:lineRule="auto"/>
              <w:rPr>
                <w:rFonts w:cs="Times New Roman"/>
                <w:szCs w:val="22"/>
              </w:rPr>
            </w:pPr>
            <w:r w:rsidRPr="003666F6">
              <w:rPr>
                <w:rFonts w:cs="Times New Roman"/>
                <w:bCs w:val="0"/>
                <w:szCs w:val="22"/>
              </w:rPr>
              <w:t>Funds available</w:t>
            </w:r>
          </w:p>
        </w:tc>
        <w:tc>
          <w:tcPr>
            <w:tcW w:w="1452" w:type="pct"/>
            <w:tcBorders>
              <w:left w:val="single" w:sz="4" w:space="0" w:color="FFFFFF" w:themeColor="background1"/>
              <w:bottom w:val="single" w:sz="4" w:space="0" w:color="FFFFFF" w:themeColor="background1"/>
            </w:tcBorders>
            <w:shd w:val="clear" w:color="auto" w:fill="FFC000"/>
            <w:vAlign w:val="center"/>
            <w:hideMark/>
          </w:tcPr>
          <w:p w14:paraId="1EC4535F" w14:textId="77777777" w:rsidR="00EF56FD" w:rsidRPr="003666F6" w:rsidRDefault="00EF56F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295443" w14:paraId="3F43917E"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tcPr>
          <w:p w14:paraId="799CBCAF" w14:textId="77777777" w:rsidR="00EF56FD" w:rsidRDefault="00EF56FD" w:rsidP="00161AA7">
            <w:pPr>
              <w:spacing w:before="40" w:after="40" w:line="240" w:lineRule="auto"/>
              <w:rPr>
                <w:rFonts w:cs="Times New Roman"/>
                <w:szCs w:val="22"/>
              </w:rPr>
            </w:pPr>
            <w:r>
              <w:rPr>
                <w:rFonts w:cs="Times New Roman"/>
                <w:b w:val="0"/>
                <w:szCs w:val="22"/>
              </w:rPr>
              <w:t>High Yield Investment Account</w:t>
            </w:r>
          </w:p>
        </w:tc>
        <w:tc>
          <w:tcPr>
            <w:tcW w:w="1452" w:type="pct"/>
            <w:tcBorders>
              <w:top w:val="single" w:sz="4" w:space="0" w:color="FFFFFF" w:themeColor="background1"/>
              <w:left w:val="nil"/>
              <w:bottom w:val="nil"/>
            </w:tcBorders>
            <w:shd w:val="clear" w:color="auto" w:fill="D9D9D9" w:themeFill="background1" w:themeFillShade="D9"/>
            <w:noWrap/>
          </w:tcPr>
          <w:p w14:paraId="0CFF754C"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$1,687,268</w:t>
            </w:r>
          </w:p>
        </w:tc>
      </w:tr>
      <w:tr w:rsidR="00295443" w14:paraId="2136D230"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E31610C" w14:textId="77777777" w:rsidR="00EF56FD" w:rsidRDefault="00EF56FD" w:rsidP="00161AA7">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tcPr>
          <w:p w14:paraId="6764CDC4"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$53,642</w:t>
            </w:r>
          </w:p>
        </w:tc>
      </w:tr>
      <w:tr w:rsidR="00295443" w14:paraId="014AB4CE"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D9D9D9" w:themeFill="background1" w:themeFillShade="D9"/>
            <w:noWrap/>
            <w:vAlign w:val="center"/>
          </w:tcPr>
          <w:p w14:paraId="4F2A4A30" w14:textId="77777777" w:rsidR="00EF56FD" w:rsidRDefault="00EF56FD" w:rsidP="00161AA7">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4" w:space="0" w:color="FFFFFF" w:themeColor="background1"/>
            </w:tcBorders>
            <w:shd w:val="clear" w:color="auto" w:fill="D9D9D9" w:themeFill="background1" w:themeFillShade="D9"/>
            <w:noWrap/>
          </w:tcPr>
          <w:p w14:paraId="246CE99B"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60506915"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2A06FFFB" w14:textId="77777777" w:rsidR="00EF56FD" w:rsidRDefault="00EF56FD" w:rsidP="00161AA7">
            <w:pPr>
              <w:spacing w:before="40" w:after="40" w:line="240" w:lineRule="auto"/>
              <w:rPr>
                <w:rFonts w:cs="Times New Roman"/>
                <w:szCs w:val="22"/>
              </w:rPr>
            </w:pPr>
            <w:r>
              <w:rPr>
                <w:rFonts w:cs="Times New Roman"/>
                <w:szCs w:val="22"/>
              </w:rPr>
              <w:t>Total Funds Available</w:t>
            </w:r>
          </w:p>
        </w:tc>
        <w:tc>
          <w:tcPr>
            <w:tcW w:w="1452" w:type="pct"/>
            <w:tcBorders>
              <w:top w:val="single" w:sz="4" w:space="0" w:color="FFFFFF" w:themeColor="background1"/>
              <w:left w:val="single" w:sz="4" w:space="0" w:color="FFFFFF" w:themeColor="background1"/>
              <w:bottom w:val="nil"/>
            </w:tcBorders>
            <w:shd w:val="clear" w:color="auto" w:fill="FFC000"/>
            <w:noWrap/>
          </w:tcPr>
          <w:p w14:paraId="6996FC0D" w14:textId="77777777" w:rsidR="00EF56FD" w:rsidRPr="003666F6" w:rsidRDefault="00EF56FD"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$1,740,910</w:t>
            </w:r>
          </w:p>
        </w:tc>
      </w:tr>
    </w:tbl>
    <w:p w14:paraId="07DC316F" w14:textId="77777777" w:rsidR="00EF56FD" w:rsidRDefault="00EF56FD" w:rsidP="0003143F">
      <w:pPr>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5"/>
        <w:gridCol w:w="1798"/>
      </w:tblGrid>
      <w:tr w:rsidR="00295443" w14:paraId="6371E505" w14:textId="77777777" w:rsidTr="0029544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25612AE5" w14:textId="77777777" w:rsidR="00EF56FD" w:rsidRPr="003666F6" w:rsidRDefault="00EF56FD">
            <w:pPr>
              <w:spacing w:before="40" w:after="40" w:line="240" w:lineRule="auto"/>
              <w:rPr>
                <w:rFonts w:cs="Times New Roman"/>
                <w:szCs w:val="22"/>
              </w:rPr>
            </w:pPr>
            <w:r w:rsidRPr="003666F6">
              <w:rPr>
                <w:rFonts w:cs="Times New Roman"/>
                <w:bCs w:val="0"/>
                <w:szCs w:val="22"/>
              </w:rPr>
              <w:t>Financial Commitments</w:t>
            </w:r>
          </w:p>
        </w:tc>
        <w:tc>
          <w:tcPr>
            <w:tcW w:w="1452" w:type="pct"/>
            <w:tcBorders>
              <w:left w:val="single" w:sz="4" w:space="0" w:color="FFFFFF" w:themeColor="background1"/>
              <w:bottom w:val="single" w:sz="4" w:space="0" w:color="FFFFFF" w:themeColor="background1"/>
            </w:tcBorders>
            <w:shd w:val="clear" w:color="auto" w:fill="FFC000"/>
            <w:vAlign w:val="center"/>
            <w:hideMark/>
          </w:tcPr>
          <w:p w14:paraId="1BB7562E" w14:textId="77777777" w:rsidR="00EF56FD" w:rsidRPr="003666F6" w:rsidRDefault="00EF56F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295443" w14:paraId="0D51F2B0"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hideMark/>
          </w:tcPr>
          <w:p w14:paraId="236BE781" w14:textId="77777777" w:rsidR="00EF56FD" w:rsidRDefault="00EF56FD" w:rsidP="00161AA7">
            <w:pPr>
              <w:spacing w:before="40" w:after="40" w:line="240" w:lineRule="auto"/>
              <w:rPr>
                <w:rFonts w:cs="Times New Roman"/>
                <w:szCs w:val="22"/>
              </w:rPr>
            </w:pPr>
            <w:r>
              <w:rPr>
                <w:rFonts w:cs="Times New Roman"/>
                <w:b w:val="0"/>
                <w:szCs w:val="22"/>
              </w:rPr>
              <w:t>Operating Reserve</w:t>
            </w:r>
          </w:p>
        </w:tc>
        <w:tc>
          <w:tcPr>
            <w:tcW w:w="1452" w:type="pct"/>
            <w:tcBorders>
              <w:top w:val="single" w:sz="4" w:space="0" w:color="FFFFFF" w:themeColor="background1"/>
              <w:left w:val="nil"/>
              <w:bottom w:val="nil"/>
            </w:tcBorders>
            <w:shd w:val="clear" w:color="auto" w:fill="D9D9D9" w:themeFill="background1" w:themeFillShade="D9"/>
            <w:noWrap/>
          </w:tcPr>
          <w:p w14:paraId="7D9D0EE9"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$92,065</w:t>
            </w:r>
          </w:p>
        </w:tc>
      </w:tr>
      <w:tr w:rsidR="00295443" w14:paraId="7581654B"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1BD80F19" w14:textId="77777777" w:rsidR="00EF56FD" w:rsidRDefault="00EF56FD" w:rsidP="00161AA7">
            <w:pPr>
              <w:spacing w:before="40" w:after="40" w:line="240" w:lineRule="auto"/>
              <w:rPr>
                <w:rFonts w:cs="Times New Roman"/>
                <w:szCs w:val="22"/>
              </w:rPr>
            </w:pPr>
            <w:r>
              <w:rPr>
                <w:b w:val="0"/>
                <w:lang w:val="en-US"/>
              </w:rPr>
              <w:t>Other Recurrent Expenditure</w:t>
            </w:r>
          </w:p>
        </w:tc>
        <w:tc>
          <w:tcPr>
            <w:tcW w:w="1452" w:type="pct"/>
            <w:tcBorders>
              <w:top w:val="nil"/>
              <w:left w:val="nil"/>
              <w:bottom w:val="nil"/>
            </w:tcBorders>
            <w:shd w:val="clear" w:color="auto" w:fill="F2F2F2" w:themeFill="background1" w:themeFillShade="F2"/>
            <w:noWrap/>
          </w:tcPr>
          <w:p w14:paraId="4AC7FEA9"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28BD1610"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0017EE87" w14:textId="77777777" w:rsidR="00EF56FD" w:rsidRDefault="00EF56FD" w:rsidP="00161AA7">
            <w:pPr>
              <w:spacing w:before="40" w:after="40" w:line="240" w:lineRule="auto"/>
              <w:rPr>
                <w:rFonts w:cs="Times New Roman"/>
                <w:szCs w:val="22"/>
              </w:rPr>
            </w:pPr>
            <w:r>
              <w:rPr>
                <w:b w:val="0"/>
                <w:lang w:val="en-US"/>
              </w:rPr>
              <w:t>Provision Accounts</w:t>
            </w:r>
          </w:p>
        </w:tc>
        <w:tc>
          <w:tcPr>
            <w:tcW w:w="1452" w:type="pct"/>
            <w:tcBorders>
              <w:top w:val="nil"/>
              <w:left w:val="nil"/>
              <w:bottom w:val="nil"/>
            </w:tcBorders>
            <w:shd w:val="clear" w:color="auto" w:fill="D9D9D9" w:themeFill="background1" w:themeFillShade="D9"/>
            <w:noWrap/>
          </w:tcPr>
          <w:p w14:paraId="31266352"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7A3FB4A0"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790419AF" w14:textId="77777777" w:rsidR="00EF56FD" w:rsidRDefault="00EF56FD" w:rsidP="00161AA7">
            <w:pPr>
              <w:spacing w:before="40" w:after="40" w:line="240" w:lineRule="auto"/>
              <w:rPr>
                <w:rFonts w:cs="Times New Roman"/>
                <w:szCs w:val="22"/>
              </w:rPr>
            </w:pPr>
            <w:r>
              <w:rPr>
                <w:b w:val="0"/>
                <w:lang w:val="en-US"/>
              </w:rPr>
              <w:t>Funds Received in Advance</w:t>
            </w:r>
          </w:p>
        </w:tc>
        <w:tc>
          <w:tcPr>
            <w:tcW w:w="1452" w:type="pct"/>
            <w:tcBorders>
              <w:top w:val="nil"/>
              <w:left w:val="nil"/>
              <w:bottom w:val="nil"/>
            </w:tcBorders>
            <w:shd w:val="clear" w:color="auto" w:fill="F2F2F2" w:themeFill="background1" w:themeFillShade="F2"/>
            <w:noWrap/>
          </w:tcPr>
          <w:p w14:paraId="2D5A3F6B"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18F299BE"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79014646" w14:textId="77777777" w:rsidR="00EF56FD" w:rsidRDefault="00EF56FD" w:rsidP="00161AA7">
            <w:pPr>
              <w:spacing w:before="40" w:after="40" w:line="240" w:lineRule="auto"/>
              <w:rPr>
                <w:rFonts w:cs="Times New Roman"/>
                <w:szCs w:val="22"/>
              </w:rPr>
            </w:pPr>
            <w:r>
              <w:rPr>
                <w:b w:val="0"/>
                <w:lang w:val="en-US"/>
              </w:rPr>
              <w:t>School Based Programs</w:t>
            </w:r>
          </w:p>
        </w:tc>
        <w:tc>
          <w:tcPr>
            <w:tcW w:w="1452" w:type="pct"/>
            <w:tcBorders>
              <w:top w:val="nil"/>
              <w:left w:val="nil"/>
              <w:bottom w:val="nil"/>
            </w:tcBorders>
            <w:shd w:val="clear" w:color="auto" w:fill="D9D9D9" w:themeFill="background1" w:themeFillShade="D9"/>
            <w:noWrap/>
          </w:tcPr>
          <w:p w14:paraId="40F1D7DA"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$982,362</w:t>
            </w:r>
          </w:p>
        </w:tc>
      </w:tr>
      <w:tr w:rsidR="00295443" w14:paraId="1E5212BF"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2E00D5CE" w14:textId="77777777" w:rsidR="00EF56FD" w:rsidRDefault="00EF56FD" w:rsidP="00161AA7">
            <w:pPr>
              <w:spacing w:before="40" w:after="40" w:line="240" w:lineRule="auto"/>
              <w:rPr>
                <w:rFonts w:cs="Times New Roman"/>
                <w:szCs w:val="22"/>
              </w:rPr>
            </w:pPr>
            <w:r>
              <w:rPr>
                <w:b w:val="0"/>
                <w:lang w:val="en-US"/>
              </w:rPr>
              <w:t>Beneficiary/Memorial Accounts</w:t>
            </w:r>
          </w:p>
        </w:tc>
        <w:tc>
          <w:tcPr>
            <w:tcW w:w="1452" w:type="pct"/>
            <w:tcBorders>
              <w:top w:val="nil"/>
              <w:left w:val="nil"/>
              <w:bottom w:val="nil"/>
            </w:tcBorders>
            <w:shd w:val="clear" w:color="auto" w:fill="F2F2F2" w:themeFill="background1" w:themeFillShade="F2"/>
            <w:noWrap/>
          </w:tcPr>
          <w:p w14:paraId="71171A1F"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2B69EC27"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4DA5EA0D" w14:textId="77777777" w:rsidR="00EF56FD" w:rsidRDefault="00EF56FD" w:rsidP="00161AA7">
            <w:pPr>
              <w:spacing w:before="40" w:after="40" w:line="240" w:lineRule="auto"/>
              <w:rPr>
                <w:rFonts w:cs="Times New Roman"/>
                <w:szCs w:val="22"/>
              </w:rPr>
            </w:pPr>
            <w:r>
              <w:rPr>
                <w:b w:val="0"/>
                <w:lang w:val="en-US"/>
              </w:rPr>
              <w:t>Cooperative Bank Account</w:t>
            </w:r>
          </w:p>
        </w:tc>
        <w:tc>
          <w:tcPr>
            <w:tcW w:w="1452" w:type="pct"/>
            <w:tcBorders>
              <w:top w:val="nil"/>
              <w:left w:val="nil"/>
              <w:bottom w:val="nil"/>
            </w:tcBorders>
            <w:shd w:val="clear" w:color="auto" w:fill="D9D9D9" w:themeFill="background1" w:themeFillShade="D9"/>
            <w:noWrap/>
          </w:tcPr>
          <w:p w14:paraId="7110C531"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7DE62306"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199557AE" w14:textId="77777777" w:rsidR="00EF56FD" w:rsidRDefault="00EF56FD" w:rsidP="00161AA7">
            <w:pPr>
              <w:spacing w:before="40" w:after="40" w:line="240" w:lineRule="auto"/>
              <w:rPr>
                <w:rFonts w:cs="Times New Roman"/>
                <w:szCs w:val="22"/>
              </w:rPr>
            </w:pPr>
            <w:r>
              <w:rPr>
                <w:b w:val="0"/>
                <w:lang w:val="en-US"/>
              </w:rPr>
              <w:t>Funds for Committees/Shared Arrangements</w:t>
            </w:r>
          </w:p>
        </w:tc>
        <w:tc>
          <w:tcPr>
            <w:tcW w:w="1452" w:type="pct"/>
            <w:tcBorders>
              <w:top w:val="nil"/>
              <w:left w:val="nil"/>
              <w:bottom w:val="nil"/>
            </w:tcBorders>
            <w:shd w:val="clear" w:color="auto" w:fill="F2F2F2" w:themeFill="background1" w:themeFillShade="F2"/>
            <w:noWrap/>
          </w:tcPr>
          <w:p w14:paraId="11517AF1"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49D4227B"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00DA9538" w14:textId="77777777" w:rsidR="00EF56FD" w:rsidRDefault="00EF56FD" w:rsidP="00161AA7">
            <w:pPr>
              <w:spacing w:before="40" w:after="40" w:line="240" w:lineRule="auto"/>
              <w:rPr>
                <w:rFonts w:cs="Times New Roman"/>
                <w:szCs w:val="22"/>
              </w:rPr>
            </w:pPr>
            <w:r>
              <w:rPr>
                <w:b w:val="0"/>
                <w:lang w:val="en-US"/>
              </w:rPr>
              <w:t>Repayable to the Department</w:t>
            </w:r>
          </w:p>
        </w:tc>
        <w:tc>
          <w:tcPr>
            <w:tcW w:w="1452" w:type="pct"/>
            <w:tcBorders>
              <w:top w:val="nil"/>
              <w:left w:val="nil"/>
              <w:bottom w:val="nil"/>
            </w:tcBorders>
            <w:shd w:val="clear" w:color="auto" w:fill="D9D9D9" w:themeFill="background1" w:themeFillShade="D9"/>
            <w:noWrap/>
          </w:tcPr>
          <w:p w14:paraId="5C9B3885"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2FBC1BF1"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6A3B97A8" w14:textId="77777777" w:rsidR="00EF56FD" w:rsidRDefault="00EF56FD" w:rsidP="00161AA7">
            <w:pPr>
              <w:spacing w:before="40" w:after="40" w:line="240" w:lineRule="auto"/>
              <w:rPr>
                <w:rFonts w:cs="Times New Roman"/>
                <w:szCs w:val="22"/>
              </w:rPr>
            </w:pPr>
            <w:r>
              <w:rPr>
                <w:b w:val="0"/>
                <w:lang w:val="en-US"/>
              </w:rPr>
              <w:t>Asset/Equipment Replacement &lt; 12 months</w:t>
            </w:r>
          </w:p>
        </w:tc>
        <w:tc>
          <w:tcPr>
            <w:tcW w:w="1452" w:type="pct"/>
            <w:tcBorders>
              <w:top w:val="nil"/>
              <w:left w:val="nil"/>
              <w:bottom w:val="nil"/>
            </w:tcBorders>
            <w:shd w:val="clear" w:color="auto" w:fill="F2F2F2" w:themeFill="background1" w:themeFillShade="F2"/>
            <w:noWrap/>
          </w:tcPr>
          <w:p w14:paraId="0B35F31B"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$57,000</w:t>
            </w:r>
          </w:p>
        </w:tc>
      </w:tr>
      <w:tr w:rsidR="00295443" w14:paraId="7D13ED9F"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5E88AAD1" w14:textId="77777777" w:rsidR="00EF56FD" w:rsidRDefault="00EF56FD" w:rsidP="00161AA7">
            <w:pPr>
              <w:spacing w:before="40" w:after="40" w:line="240" w:lineRule="auto"/>
              <w:rPr>
                <w:rFonts w:cs="Times New Roman"/>
                <w:szCs w:val="22"/>
              </w:rPr>
            </w:pPr>
            <w:r>
              <w:rPr>
                <w:b w:val="0"/>
                <w:lang w:val="en-US"/>
              </w:rPr>
              <w:t>Capital - Buildings/Grounds &lt; 12 months</w:t>
            </w:r>
          </w:p>
        </w:tc>
        <w:tc>
          <w:tcPr>
            <w:tcW w:w="1452" w:type="pct"/>
            <w:tcBorders>
              <w:top w:val="nil"/>
              <w:left w:val="nil"/>
              <w:bottom w:val="nil"/>
            </w:tcBorders>
            <w:shd w:val="clear" w:color="auto" w:fill="D9D9D9" w:themeFill="background1" w:themeFillShade="D9"/>
            <w:noWrap/>
          </w:tcPr>
          <w:p w14:paraId="3C0DEB98"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7CA4E203"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008FF0F0" w14:textId="77777777" w:rsidR="00EF56FD" w:rsidRDefault="00EF56FD" w:rsidP="00161AA7">
            <w:pPr>
              <w:spacing w:before="40" w:after="40" w:line="240" w:lineRule="auto"/>
              <w:rPr>
                <w:rFonts w:cs="Times New Roman"/>
                <w:szCs w:val="22"/>
              </w:rPr>
            </w:pPr>
            <w:r>
              <w:rPr>
                <w:b w:val="0"/>
                <w:lang w:val="en-US"/>
              </w:rPr>
              <w:t>Maintenance - Buildings/Grounds &lt; 12 months</w:t>
            </w:r>
          </w:p>
        </w:tc>
        <w:tc>
          <w:tcPr>
            <w:tcW w:w="1452" w:type="pct"/>
            <w:tcBorders>
              <w:top w:val="nil"/>
              <w:left w:val="nil"/>
              <w:bottom w:val="nil"/>
            </w:tcBorders>
            <w:shd w:val="clear" w:color="auto" w:fill="F2F2F2" w:themeFill="background1" w:themeFillShade="F2"/>
            <w:noWrap/>
          </w:tcPr>
          <w:p w14:paraId="2D1AEA8D"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$434,900</w:t>
            </w:r>
          </w:p>
        </w:tc>
      </w:tr>
      <w:tr w:rsidR="00295443" w14:paraId="77EA61BC"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5C7F7AAC" w14:textId="77777777" w:rsidR="00EF56FD" w:rsidRDefault="00EF56FD" w:rsidP="00161AA7">
            <w:pPr>
              <w:spacing w:before="40" w:after="40" w:line="240" w:lineRule="auto"/>
              <w:rPr>
                <w:rFonts w:cs="Times New Roman"/>
                <w:szCs w:val="22"/>
              </w:rPr>
            </w:pPr>
            <w:r>
              <w:rPr>
                <w:b w:val="0"/>
                <w:lang w:val="en-US"/>
              </w:rPr>
              <w:t xml:space="preserve">Asset/Equipment </w:t>
            </w:r>
            <w:r>
              <w:rPr>
                <w:b w:val="0"/>
                <w:lang w:val="en-US"/>
              </w:rPr>
              <w:t>Replacement &gt; 12 months</w:t>
            </w:r>
          </w:p>
        </w:tc>
        <w:tc>
          <w:tcPr>
            <w:tcW w:w="1452" w:type="pct"/>
            <w:tcBorders>
              <w:top w:val="nil"/>
              <w:left w:val="nil"/>
              <w:bottom w:val="nil"/>
            </w:tcBorders>
            <w:shd w:val="clear" w:color="auto" w:fill="D9D9D9" w:themeFill="background1" w:themeFillShade="D9"/>
            <w:noWrap/>
          </w:tcPr>
          <w:p w14:paraId="2191F82C"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01DF0831"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75B45A83" w14:textId="77777777" w:rsidR="00EF56FD" w:rsidRDefault="00EF56FD" w:rsidP="00161AA7">
            <w:pPr>
              <w:spacing w:before="40" w:after="40" w:line="240" w:lineRule="auto"/>
              <w:rPr>
                <w:rFonts w:cs="Times New Roman"/>
                <w:szCs w:val="22"/>
              </w:rPr>
            </w:pPr>
            <w:r>
              <w:rPr>
                <w:b w:val="0"/>
                <w:lang w:val="en-US"/>
              </w:rPr>
              <w:t>Capital - Buildings/Grounds &gt; 12 months</w:t>
            </w:r>
          </w:p>
        </w:tc>
        <w:tc>
          <w:tcPr>
            <w:tcW w:w="1452" w:type="pct"/>
            <w:tcBorders>
              <w:top w:val="nil"/>
              <w:left w:val="nil"/>
              <w:bottom w:val="nil"/>
            </w:tcBorders>
            <w:shd w:val="clear" w:color="auto" w:fill="F2F2F2" w:themeFill="background1" w:themeFillShade="F2"/>
            <w:noWrap/>
          </w:tcPr>
          <w:p w14:paraId="23013F1D" w14:textId="77777777" w:rsidR="00EF56FD" w:rsidRDefault="00EF56FD"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295443" w14:paraId="01E499CC" w14:textId="77777777" w:rsidTr="002954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D9D9D9" w:themeFill="background1" w:themeFillShade="D9"/>
            <w:noWrap/>
          </w:tcPr>
          <w:p w14:paraId="6449EC4E" w14:textId="77777777" w:rsidR="00EF56FD" w:rsidRDefault="00EF56FD" w:rsidP="00161AA7">
            <w:pPr>
              <w:spacing w:before="40" w:after="40" w:line="240" w:lineRule="auto"/>
              <w:rPr>
                <w:rFonts w:cs="Times New Roman"/>
                <w:szCs w:val="22"/>
              </w:rPr>
            </w:pPr>
            <w:r>
              <w:rPr>
                <w:b w:val="0"/>
                <w:lang w:val="en-US"/>
              </w:rPr>
              <w:t>Maintenance - Buildings/Grounds &gt; 12 months</w:t>
            </w:r>
          </w:p>
        </w:tc>
        <w:tc>
          <w:tcPr>
            <w:tcW w:w="1452" w:type="pct"/>
            <w:tcBorders>
              <w:top w:val="nil"/>
              <w:left w:val="nil"/>
              <w:bottom w:val="single" w:sz="4" w:space="0" w:color="FFFFFF" w:themeColor="background1"/>
            </w:tcBorders>
            <w:shd w:val="clear" w:color="auto" w:fill="D9D9D9" w:themeFill="background1" w:themeFillShade="D9"/>
            <w:noWrap/>
          </w:tcPr>
          <w:p w14:paraId="02FB6880" w14:textId="77777777" w:rsidR="00EF56FD" w:rsidRDefault="00EF56FD"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295443" w14:paraId="108C7BFB" w14:textId="77777777" w:rsidTr="002954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39ECC96E" w14:textId="77777777" w:rsidR="00EF56FD" w:rsidRDefault="00EF56FD" w:rsidP="00161AA7">
            <w:pPr>
              <w:spacing w:before="40" w:after="40" w:line="240" w:lineRule="auto"/>
              <w:rPr>
                <w:rFonts w:cs="Times New Roman"/>
                <w:szCs w:val="22"/>
              </w:rPr>
            </w:pPr>
            <w:r>
              <w:rPr>
                <w:rFonts w:cs="Times New Roman"/>
                <w:szCs w:val="22"/>
              </w:rPr>
              <w:t>Total Financial Commitments</w:t>
            </w:r>
          </w:p>
        </w:tc>
        <w:tc>
          <w:tcPr>
            <w:tcW w:w="1452" w:type="pct"/>
            <w:tcBorders>
              <w:top w:val="single" w:sz="4" w:space="0" w:color="FFFFFF" w:themeColor="background1"/>
              <w:left w:val="single" w:sz="4" w:space="0" w:color="FFFFFF" w:themeColor="background1"/>
              <w:bottom w:val="nil"/>
            </w:tcBorders>
            <w:shd w:val="clear" w:color="auto" w:fill="FFC000"/>
            <w:noWrap/>
          </w:tcPr>
          <w:p w14:paraId="4BF852C7" w14:textId="77777777" w:rsidR="00EF56FD" w:rsidRPr="003666F6" w:rsidRDefault="00EF56FD"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$1,566,327</w:t>
            </w:r>
          </w:p>
        </w:tc>
      </w:tr>
    </w:tbl>
    <w:p w14:paraId="787CFDEF" w14:textId="77777777" w:rsidR="00EF56FD" w:rsidRDefault="00EF56FD">
      <w:pPr>
        <w:pStyle w:val="ESBodyText0"/>
      </w:pPr>
    </w:p>
    <w:p w14:paraId="6E26AB0A" w14:textId="77777777" w:rsidR="00EF56FD" w:rsidRDefault="00EF56FD" w:rsidP="000140F1">
      <w:pPr>
        <w:pStyle w:val="ESBodyText0"/>
        <w:rPr>
          <w:i/>
        </w:rPr>
      </w:pPr>
      <w:r>
        <w:rPr>
          <w:i/>
        </w:rPr>
        <w:t xml:space="preserve">All funds received from the Department of Education, or raised by the school, have been </w:t>
      </w:r>
      <w:r>
        <w:rPr>
          <w:i/>
        </w:rPr>
        <w:t>expended, or committed to subsequent years, to support the achievement of educational outcomes and other operational needs of the school, consistent with department policies, School Council approvals and the intent/purposes for which funding was provided or raised.</w:t>
      </w:r>
    </w:p>
    <w:p w14:paraId="5C7C8A27" w14:textId="77777777" w:rsidR="00EF56FD" w:rsidRDefault="00EF56FD" w:rsidP="000140F1">
      <w:pPr>
        <w:pStyle w:val="ESBodyText0"/>
        <w:rPr>
          <w:i/>
        </w:rPr>
      </w:pPr>
    </w:p>
    <w:sectPr w:rsidR="009E6D61" w:rsidSect="004C5FBF">
      <w:headerReference w:type="default" r:id="rId35"/>
      <w:footerReference w:type="default" r:id="rId36"/>
      <w:headerReference w:type="first" r:id="rId37"/>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D35D" w14:textId="77777777" w:rsidR="00EF56FD" w:rsidRDefault="00EF56FD">
      <w:pPr>
        <w:spacing w:after="0" w:line="240" w:lineRule="auto"/>
      </w:pPr>
      <w:r>
        <w:separator/>
      </w:r>
    </w:p>
  </w:endnote>
  <w:endnote w:type="continuationSeparator" w:id="0">
    <w:p w14:paraId="039F9F09" w14:textId="77777777" w:rsidR="00EF56FD" w:rsidRDefault="00EF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E774" w14:textId="77777777" w:rsidR="00EF56FD" w:rsidRDefault="00EF56FD"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168281A" w14:textId="77777777" w:rsidR="00EF56FD" w:rsidRDefault="00EF56FD"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AB50" w14:textId="77777777" w:rsidR="00EF56FD" w:rsidRPr="003E29B5" w:rsidRDefault="00EF56FD"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644074"/>
      <w:docPartObj>
        <w:docPartGallery w:val="Page Numbers (Bottom of Page)"/>
        <w:docPartUnique/>
      </w:docPartObj>
    </w:sdtPr>
    <w:sdtEndPr>
      <w:rPr>
        <w:noProof/>
      </w:rPr>
    </w:sdtEndPr>
    <w:sdtContent>
      <w:p w14:paraId="6123873F" w14:textId="77777777" w:rsidR="00EF56FD" w:rsidRDefault="00EF56F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3503"/>
      <w:docPartObj>
        <w:docPartGallery w:val="Page Numbers (Bottom of Page)"/>
        <w:docPartUnique/>
      </w:docPartObj>
    </w:sdtPr>
    <w:sdtEndPr>
      <w:rPr>
        <w:noProof/>
      </w:rPr>
    </w:sdtEndPr>
    <w:sdtContent>
      <w:p w14:paraId="2FBB6D8C" w14:textId="77777777" w:rsidR="00EF56FD" w:rsidRDefault="00EF56FD">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049646"/>
      <w:docPartObj>
        <w:docPartGallery w:val="Page Numbers (Bottom of Page)"/>
        <w:docPartUnique/>
      </w:docPartObj>
    </w:sdtPr>
    <w:sdtEndPr>
      <w:rPr>
        <w:noProof/>
      </w:rPr>
    </w:sdtEndPr>
    <w:sdtContent>
      <w:p w14:paraId="34180E9A" w14:textId="77777777" w:rsidR="00EF56FD" w:rsidRDefault="00EF56F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B37E9" w14:textId="77777777" w:rsidR="00EF56FD" w:rsidRDefault="00EF56FD">
      <w:pPr>
        <w:spacing w:after="0" w:line="240" w:lineRule="auto"/>
      </w:pPr>
      <w:r>
        <w:separator/>
      </w:r>
    </w:p>
  </w:footnote>
  <w:footnote w:type="continuationSeparator" w:id="0">
    <w:p w14:paraId="3CDD6320" w14:textId="77777777" w:rsidR="00EF56FD" w:rsidRDefault="00EF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99A8" w14:textId="77777777" w:rsidR="00EF56FD" w:rsidRDefault="00EF56FD">
    <w:r>
      <w:rPr>
        <w:noProof/>
        <w:lang w:val="en-AU" w:eastAsia="en-AU"/>
      </w:rPr>
      <mc:AlternateContent>
        <mc:Choice Requires="wps">
          <w:drawing>
            <wp:anchor distT="0" distB="0" distL="114300" distR="114300" simplePos="0" relativeHeight="251660288" behindDoc="0" locked="0" layoutInCell="1" allowOverlap="1" wp14:anchorId="6E926D2D" wp14:editId="027341E6">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555EDC3" w14:textId="77777777" w:rsidR="00EF56FD" w:rsidRDefault="00EF56F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3078" w14:textId="77777777" w:rsidR="00EF56FD" w:rsidRDefault="00EF56FD"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1AB3D36C" wp14:editId="7FC298EB">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67717989" wp14:editId="07507AE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BD27" w14:textId="77777777" w:rsidR="00EF56FD" w:rsidRDefault="00EF56FD">
    <w:r>
      <w:rPr>
        <w:noProof/>
        <w:lang w:val="en-AU" w:eastAsia="en-AU"/>
      </w:rPr>
      <mc:AlternateContent>
        <mc:Choice Requires="wps">
          <w:drawing>
            <wp:anchor distT="0" distB="0" distL="114300" distR="114300" simplePos="0" relativeHeight="251658240" behindDoc="0" locked="0" layoutInCell="1" allowOverlap="1" wp14:anchorId="3586B1C0" wp14:editId="0B5DEC7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C8B585F" w14:textId="77777777" w:rsidR="00EF56FD" w:rsidRDefault="00EF56F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0913" w14:textId="77777777" w:rsidR="00EF56FD" w:rsidRDefault="00EF56FD">
    <w:pPr>
      <w:pStyle w:val="Header"/>
      <w:spacing w:before="240"/>
    </w:pPr>
    <w:r>
      <w:rPr>
        <w:noProof/>
        <w:lang w:val="en-AU" w:eastAsia="en-AU"/>
      </w:rPr>
      <w:drawing>
        <wp:inline distT="0" distB="0" distL="0" distR="0" wp14:anchorId="2D446ECA" wp14:editId="355AF6A7">
          <wp:extent cx="1574060" cy="474979"/>
          <wp:effectExtent l="0" t="0" r="7620" b="1905"/>
          <wp:docPr id="2" name="Picture 2"/>
          <wp:cNvGraphicFramePr/>
          <a:graphic xmlns:a="http://schemas.openxmlformats.org/drawingml/2006/main">
            <a:graphicData uri="http://schemas.openxmlformats.org/drawingml/2006/picture">
              <pic:pic xmlns:pic="http://schemas.openxmlformats.org/drawingml/2006/picture">
                <pic:nvPicPr>
                  <pic:cNvPr id="29"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Glenroy Specialist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BFE0" w14:textId="77777777" w:rsidR="00EF56FD" w:rsidRDefault="00EF56FD">
    <w:pPr>
      <w:pStyle w:val="Header"/>
      <w:ind w:left="-993"/>
    </w:pPr>
    <w:r>
      <w:ptab w:relativeTo="margin" w:alignment="left" w:leader="none"/>
    </w:r>
  </w:p>
  <w:p w14:paraId="097EEA64" w14:textId="77777777" w:rsidR="00EF56FD" w:rsidRDefault="00EF56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77D1" w14:textId="77777777" w:rsidR="00EF56FD" w:rsidRDefault="00EF56FD">
    <w:pPr>
      <w:pStyle w:val="Header0"/>
      <w:spacing w:before="240"/>
    </w:pPr>
    <w:r>
      <w:rPr>
        <w:noProof/>
        <w:lang w:val="en-AU" w:eastAsia="en-AU"/>
      </w:rPr>
      <w:drawing>
        <wp:inline distT="0" distB="0" distL="0" distR="0" wp14:anchorId="7DB53224" wp14:editId="2B51883D">
          <wp:extent cx="1574060" cy="474979"/>
          <wp:effectExtent l="0" t="0" r="7620" b="1905"/>
          <wp:docPr id="1357069647" name="Picture 2"/>
          <wp:cNvGraphicFramePr/>
          <a:graphic xmlns:a="http://schemas.openxmlformats.org/drawingml/2006/main">
            <a:graphicData uri="http://schemas.openxmlformats.org/drawingml/2006/picture">
              <pic:pic xmlns:pic="http://schemas.openxmlformats.org/drawingml/2006/picture">
                <pic:nvPicPr>
                  <pic:cNvPr id="29"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Glenroy Specialist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589A" w14:textId="77777777" w:rsidR="00EF56FD" w:rsidRDefault="00EF56FD">
    <w:pPr>
      <w:pStyle w:val="Header1"/>
      <w:ind w:left="-993"/>
    </w:pPr>
    <w:r>
      <w:ptab w:relativeTo="margin" w:alignment="left" w:leader="none"/>
    </w:r>
  </w:p>
  <w:p w14:paraId="6794CC28" w14:textId="77777777" w:rsidR="00EF56FD" w:rsidRDefault="00EF56FD">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E616" w14:textId="77777777" w:rsidR="00EF56FD" w:rsidRDefault="00EF56FD">
    <w:pPr>
      <w:pStyle w:val="Header"/>
      <w:spacing w:before="240"/>
    </w:pPr>
    <w:r>
      <w:rPr>
        <w:noProof/>
        <w:lang w:val="en-AU" w:eastAsia="en-AU"/>
      </w:rPr>
      <w:drawing>
        <wp:inline distT="0" distB="0" distL="0" distR="0" wp14:anchorId="71E45B0F" wp14:editId="6086328D">
          <wp:extent cx="1574060" cy="474979"/>
          <wp:effectExtent l="0" t="0" r="7620" b="1905"/>
          <wp:docPr id="884613209" name="Picture 2"/>
          <wp:cNvGraphicFramePr/>
          <a:graphic xmlns:a="http://schemas.openxmlformats.org/drawingml/2006/main">
            <a:graphicData uri="http://schemas.openxmlformats.org/drawingml/2006/picture">
              <pic:pic xmlns:pic="http://schemas.openxmlformats.org/drawingml/2006/picture">
                <pic:nvPicPr>
                  <pic:cNvPr id="29"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Glenroy Specialist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140C" w14:textId="77777777" w:rsidR="00EF56FD" w:rsidRDefault="00EF56FD">
    <w:pPr>
      <w:pStyle w:val="Header"/>
      <w:ind w:left="-993"/>
    </w:pPr>
    <w:r>
      <w:ptab w:relativeTo="margin" w:alignment="left" w:leader="none"/>
    </w:r>
  </w:p>
  <w:p w14:paraId="1A9F0A32" w14:textId="77777777" w:rsidR="00EF56FD" w:rsidRDefault="00EF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6FBA9070">
      <w:start w:val="1"/>
      <w:numFmt w:val="bullet"/>
      <w:lvlText w:val=""/>
      <w:lvlJc w:val="left"/>
      <w:pPr>
        <w:ind w:left="720" w:hanging="360"/>
      </w:pPr>
      <w:rPr>
        <w:rFonts w:ascii="Symbol" w:hAnsi="Symbol" w:hint="default"/>
      </w:rPr>
    </w:lvl>
    <w:lvl w:ilvl="1" w:tplc="B238907A" w:tentative="1">
      <w:start w:val="1"/>
      <w:numFmt w:val="bullet"/>
      <w:lvlText w:val="o"/>
      <w:lvlJc w:val="left"/>
      <w:pPr>
        <w:ind w:left="1440" w:hanging="360"/>
      </w:pPr>
      <w:rPr>
        <w:rFonts w:ascii="Courier New" w:hAnsi="Courier New" w:cs="Courier New" w:hint="default"/>
      </w:rPr>
    </w:lvl>
    <w:lvl w:ilvl="2" w:tplc="276A84C6" w:tentative="1">
      <w:start w:val="1"/>
      <w:numFmt w:val="bullet"/>
      <w:lvlText w:val=""/>
      <w:lvlJc w:val="left"/>
      <w:pPr>
        <w:ind w:left="2160" w:hanging="360"/>
      </w:pPr>
      <w:rPr>
        <w:rFonts w:ascii="Wingdings" w:hAnsi="Wingdings" w:hint="default"/>
      </w:rPr>
    </w:lvl>
    <w:lvl w:ilvl="3" w:tplc="29365FF6" w:tentative="1">
      <w:start w:val="1"/>
      <w:numFmt w:val="bullet"/>
      <w:lvlText w:val=""/>
      <w:lvlJc w:val="left"/>
      <w:pPr>
        <w:ind w:left="2880" w:hanging="360"/>
      </w:pPr>
      <w:rPr>
        <w:rFonts w:ascii="Symbol" w:hAnsi="Symbol" w:hint="default"/>
      </w:rPr>
    </w:lvl>
    <w:lvl w:ilvl="4" w:tplc="B6EAA01A" w:tentative="1">
      <w:start w:val="1"/>
      <w:numFmt w:val="bullet"/>
      <w:lvlText w:val="o"/>
      <w:lvlJc w:val="left"/>
      <w:pPr>
        <w:ind w:left="3600" w:hanging="360"/>
      </w:pPr>
      <w:rPr>
        <w:rFonts w:ascii="Courier New" w:hAnsi="Courier New" w:cs="Courier New" w:hint="default"/>
      </w:rPr>
    </w:lvl>
    <w:lvl w:ilvl="5" w:tplc="ACDE3F7A" w:tentative="1">
      <w:start w:val="1"/>
      <w:numFmt w:val="bullet"/>
      <w:lvlText w:val=""/>
      <w:lvlJc w:val="left"/>
      <w:pPr>
        <w:ind w:left="4320" w:hanging="360"/>
      </w:pPr>
      <w:rPr>
        <w:rFonts w:ascii="Wingdings" w:hAnsi="Wingdings" w:hint="default"/>
      </w:rPr>
    </w:lvl>
    <w:lvl w:ilvl="6" w:tplc="813C6F64" w:tentative="1">
      <w:start w:val="1"/>
      <w:numFmt w:val="bullet"/>
      <w:lvlText w:val=""/>
      <w:lvlJc w:val="left"/>
      <w:pPr>
        <w:ind w:left="5040" w:hanging="360"/>
      </w:pPr>
      <w:rPr>
        <w:rFonts w:ascii="Symbol" w:hAnsi="Symbol" w:hint="default"/>
      </w:rPr>
    </w:lvl>
    <w:lvl w:ilvl="7" w:tplc="D0EEDA1E" w:tentative="1">
      <w:start w:val="1"/>
      <w:numFmt w:val="bullet"/>
      <w:lvlText w:val="o"/>
      <w:lvlJc w:val="left"/>
      <w:pPr>
        <w:ind w:left="5760" w:hanging="360"/>
      </w:pPr>
      <w:rPr>
        <w:rFonts w:ascii="Courier New" w:hAnsi="Courier New" w:cs="Courier New" w:hint="default"/>
      </w:rPr>
    </w:lvl>
    <w:lvl w:ilvl="8" w:tplc="6AEA0A22"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8898B5D0">
      <w:start w:val="1"/>
      <w:numFmt w:val="bullet"/>
      <w:lvlText w:val=""/>
      <w:lvlJc w:val="left"/>
      <w:pPr>
        <w:ind w:left="720" w:hanging="360"/>
      </w:pPr>
      <w:rPr>
        <w:rFonts w:ascii="Symbol" w:hAnsi="Symbol" w:hint="default"/>
      </w:rPr>
    </w:lvl>
    <w:lvl w:ilvl="1" w:tplc="91444920" w:tentative="1">
      <w:start w:val="1"/>
      <w:numFmt w:val="bullet"/>
      <w:lvlText w:val="o"/>
      <w:lvlJc w:val="left"/>
      <w:pPr>
        <w:ind w:left="1440" w:hanging="360"/>
      </w:pPr>
      <w:rPr>
        <w:rFonts w:ascii="Courier New" w:hAnsi="Courier New" w:cs="Courier New" w:hint="default"/>
      </w:rPr>
    </w:lvl>
    <w:lvl w:ilvl="2" w:tplc="B67E78A2" w:tentative="1">
      <w:start w:val="1"/>
      <w:numFmt w:val="bullet"/>
      <w:lvlText w:val=""/>
      <w:lvlJc w:val="left"/>
      <w:pPr>
        <w:ind w:left="2160" w:hanging="360"/>
      </w:pPr>
      <w:rPr>
        <w:rFonts w:ascii="Wingdings" w:hAnsi="Wingdings" w:hint="default"/>
      </w:rPr>
    </w:lvl>
    <w:lvl w:ilvl="3" w:tplc="74E610E8" w:tentative="1">
      <w:start w:val="1"/>
      <w:numFmt w:val="bullet"/>
      <w:lvlText w:val=""/>
      <w:lvlJc w:val="left"/>
      <w:pPr>
        <w:ind w:left="2880" w:hanging="360"/>
      </w:pPr>
      <w:rPr>
        <w:rFonts w:ascii="Symbol" w:hAnsi="Symbol" w:hint="default"/>
      </w:rPr>
    </w:lvl>
    <w:lvl w:ilvl="4" w:tplc="0CDC9A14" w:tentative="1">
      <w:start w:val="1"/>
      <w:numFmt w:val="bullet"/>
      <w:lvlText w:val="o"/>
      <w:lvlJc w:val="left"/>
      <w:pPr>
        <w:ind w:left="3600" w:hanging="360"/>
      </w:pPr>
      <w:rPr>
        <w:rFonts w:ascii="Courier New" w:hAnsi="Courier New" w:cs="Courier New" w:hint="default"/>
      </w:rPr>
    </w:lvl>
    <w:lvl w:ilvl="5" w:tplc="7E3EA59A" w:tentative="1">
      <w:start w:val="1"/>
      <w:numFmt w:val="bullet"/>
      <w:lvlText w:val=""/>
      <w:lvlJc w:val="left"/>
      <w:pPr>
        <w:ind w:left="4320" w:hanging="360"/>
      </w:pPr>
      <w:rPr>
        <w:rFonts w:ascii="Wingdings" w:hAnsi="Wingdings" w:hint="default"/>
      </w:rPr>
    </w:lvl>
    <w:lvl w:ilvl="6" w:tplc="B0AC4FAE" w:tentative="1">
      <w:start w:val="1"/>
      <w:numFmt w:val="bullet"/>
      <w:lvlText w:val=""/>
      <w:lvlJc w:val="left"/>
      <w:pPr>
        <w:ind w:left="5040" w:hanging="360"/>
      </w:pPr>
      <w:rPr>
        <w:rFonts w:ascii="Symbol" w:hAnsi="Symbol" w:hint="default"/>
      </w:rPr>
    </w:lvl>
    <w:lvl w:ilvl="7" w:tplc="2FF420D2" w:tentative="1">
      <w:start w:val="1"/>
      <w:numFmt w:val="bullet"/>
      <w:lvlText w:val="o"/>
      <w:lvlJc w:val="left"/>
      <w:pPr>
        <w:ind w:left="5760" w:hanging="360"/>
      </w:pPr>
      <w:rPr>
        <w:rFonts w:ascii="Courier New" w:hAnsi="Courier New" w:cs="Courier New" w:hint="default"/>
      </w:rPr>
    </w:lvl>
    <w:lvl w:ilvl="8" w:tplc="8C841C06"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EDCC332E">
      <w:start w:val="1"/>
      <w:numFmt w:val="bullet"/>
      <w:pStyle w:val="ESBulletsinTable"/>
      <w:lvlText w:val=""/>
      <w:lvlJc w:val="left"/>
      <w:pPr>
        <w:ind w:left="360" w:hanging="360"/>
      </w:pPr>
      <w:rPr>
        <w:rFonts w:ascii="Symbol" w:hAnsi="Symbol" w:hint="default"/>
        <w:color w:val="AF272F"/>
      </w:rPr>
    </w:lvl>
    <w:lvl w:ilvl="1" w:tplc="C2D60342">
      <w:start w:val="1"/>
      <w:numFmt w:val="bullet"/>
      <w:pStyle w:val="ESBulletsinTableLevel2"/>
      <w:lvlText w:val="o"/>
      <w:lvlJc w:val="left"/>
      <w:pPr>
        <w:ind w:left="1440" w:hanging="360"/>
      </w:pPr>
      <w:rPr>
        <w:rFonts w:ascii="Courier New" w:hAnsi="Courier New" w:cs="Courier New" w:hint="default"/>
      </w:rPr>
    </w:lvl>
    <w:lvl w:ilvl="2" w:tplc="4CA00E26" w:tentative="1">
      <w:start w:val="1"/>
      <w:numFmt w:val="bullet"/>
      <w:lvlText w:val=""/>
      <w:lvlJc w:val="left"/>
      <w:pPr>
        <w:ind w:left="2160" w:hanging="360"/>
      </w:pPr>
      <w:rPr>
        <w:rFonts w:ascii="Wingdings" w:hAnsi="Wingdings" w:hint="default"/>
      </w:rPr>
    </w:lvl>
    <w:lvl w:ilvl="3" w:tplc="4C301C58" w:tentative="1">
      <w:start w:val="1"/>
      <w:numFmt w:val="bullet"/>
      <w:lvlText w:val=""/>
      <w:lvlJc w:val="left"/>
      <w:pPr>
        <w:ind w:left="2880" w:hanging="360"/>
      </w:pPr>
      <w:rPr>
        <w:rFonts w:ascii="Symbol" w:hAnsi="Symbol" w:hint="default"/>
      </w:rPr>
    </w:lvl>
    <w:lvl w:ilvl="4" w:tplc="B0507664" w:tentative="1">
      <w:start w:val="1"/>
      <w:numFmt w:val="bullet"/>
      <w:lvlText w:val="o"/>
      <w:lvlJc w:val="left"/>
      <w:pPr>
        <w:ind w:left="3600" w:hanging="360"/>
      </w:pPr>
      <w:rPr>
        <w:rFonts w:ascii="Courier New" w:hAnsi="Courier New" w:cs="Courier New" w:hint="default"/>
      </w:rPr>
    </w:lvl>
    <w:lvl w:ilvl="5" w:tplc="34E2546A" w:tentative="1">
      <w:start w:val="1"/>
      <w:numFmt w:val="bullet"/>
      <w:lvlText w:val=""/>
      <w:lvlJc w:val="left"/>
      <w:pPr>
        <w:ind w:left="4320" w:hanging="360"/>
      </w:pPr>
      <w:rPr>
        <w:rFonts w:ascii="Wingdings" w:hAnsi="Wingdings" w:hint="default"/>
      </w:rPr>
    </w:lvl>
    <w:lvl w:ilvl="6" w:tplc="E3221A1E" w:tentative="1">
      <w:start w:val="1"/>
      <w:numFmt w:val="bullet"/>
      <w:lvlText w:val=""/>
      <w:lvlJc w:val="left"/>
      <w:pPr>
        <w:ind w:left="5040" w:hanging="360"/>
      </w:pPr>
      <w:rPr>
        <w:rFonts w:ascii="Symbol" w:hAnsi="Symbol" w:hint="default"/>
      </w:rPr>
    </w:lvl>
    <w:lvl w:ilvl="7" w:tplc="6258200E" w:tentative="1">
      <w:start w:val="1"/>
      <w:numFmt w:val="bullet"/>
      <w:lvlText w:val="o"/>
      <w:lvlJc w:val="left"/>
      <w:pPr>
        <w:ind w:left="5760" w:hanging="360"/>
      </w:pPr>
      <w:rPr>
        <w:rFonts w:ascii="Courier New" w:hAnsi="Courier New" w:cs="Courier New" w:hint="default"/>
      </w:rPr>
    </w:lvl>
    <w:lvl w:ilvl="8" w:tplc="143C98DA"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65AC1476">
      <w:start w:val="1"/>
      <w:numFmt w:val="bullet"/>
      <w:lvlText w:val=""/>
      <w:lvlJc w:val="left"/>
      <w:pPr>
        <w:ind w:left="720" w:hanging="360"/>
      </w:pPr>
      <w:rPr>
        <w:rFonts w:ascii="Symbol" w:hAnsi="Symbol" w:hint="default"/>
      </w:rPr>
    </w:lvl>
    <w:lvl w:ilvl="1" w:tplc="6316C7A8" w:tentative="1">
      <w:start w:val="1"/>
      <w:numFmt w:val="bullet"/>
      <w:lvlText w:val="o"/>
      <w:lvlJc w:val="left"/>
      <w:pPr>
        <w:ind w:left="1440" w:hanging="360"/>
      </w:pPr>
      <w:rPr>
        <w:rFonts w:ascii="Courier New" w:hAnsi="Courier New" w:cs="Courier New" w:hint="default"/>
      </w:rPr>
    </w:lvl>
    <w:lvl w:ilvl="2" w:tplc="F46C933E" w:tentative="1">
      <w:start w:val="1"/>
      <w:numFmt w:val="bullet"/>
      <w:lvlText w:val=""/>
      <w:lvlJc w:val="left"/>
      <w:pPr>
        <w:ind w:left="2160" w:hanging="360"/>
      </w:pPr>
      <w:rPr>
        <w:rFonts w:ascii="Wingdings" w:hAnsi="Wingdings" w:hint="default"/>
      </w:rPr>
    </w:lvl>
    <w:lvl w:ilvl="3" w:tplc="460A3E38" w:tentative="1">
      <w:start w:val="1"/>
      <w:numFmt w:val="bullet"/>
      <w:lvlText w:val=""/>
      <w:lvlJc w:val="left"/>
      <w:pPr>
        <w:ind w:left="2880" w:hanging="360"/>
      </w:pPr>
      <w:rPr>
        <w:rFonts w:ascii="Symbol" w:hAnsi="Symbol" w:hint="default"/>
      </w:rPr>
    </w:lvl>
    <w:lvl w:ilvl="4" w:tplc="3C58575C" w:tentative="1">
      <w:start w:val="1"/>
      <w:numFmt w:val="bullet"/>
      <w:lvlText w:val="o"/>
      <w:lvlJc w:val="left"/>
      <w:pPr>
        <w:ind w:left="3600" w:hanging="360"/>
      </w:pPr>
      <w:rPr>
        <w:rFonts w:ascii="Courier New" w:hAnsi="Courier New" w:cs="Courier New" w:hint="default"/>
      </w:rPr>
    </w:lvl>
    <w:lvl w:ilvl="5" w:tplc="E6D4DD2A" w:tentative="1">
      <w:start w:val="1"/>
      <w:numFmt w:val="bullet"/>
      <w:lvlText w:val=""/>
      <w:lvlJc w:val="left"/>
      <w:pPr>
        <w:ind w:left="4320" w:hanging="360"/>
      </w:pPr>
      <w:rPr>
        <w:rFonts w:ascii="Wingdings" w:hAnsi="Wingdings" w:hint="default"/>
      </w:rPr>
    </w:lvl>
    <w:lvl w:ilvl="6" w:tplc="37BEF862" w:tentative="1">
      <w:start w:val="1"/>
      <w:numFmt w:val="bullet"/>
      <w:lvlText w:val=""/>
      <w:lvlJc w:val="left"/>
      <w:pPr>
        <w:ind w:left="5040" w:hanging="360"/>
      </w:pPr>
      <w:rPr>
        <w:rFonts w:ascii="Symbol" w:hAnsi="Symbol" w:hint="default"/>
      </w:rPr>
    </w:lvl>
    <w:lvl w:ilvl="7" w:tplc="592A10B0" w:tentative="1">
      <w:start w:val="1"/>
      <w:numFmt w:val="bullet"/>
      <w:lvlText w:val="o"/>
      <w:lvlJc w:val="left"/>
      <w:pPr>
        <w:ind w:left="5760" w:hanging="360"/>
      </w:pPr>
      <w:rPr>
        <w:rFonts w:ascii="Courier New" w:hAnsi="Courier New" w:cs="Courier New" w:hint="default"/>
      </w:rPr>
    </w:lvl>
    <w:lvl w:ilvl="8" w:tplc="7550FFF8"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8B64E12E">
      <w:start w:val="1"/>
      <w:numFmt w:val="bullet"/>
      <w:lvlText w:val=""/>
      <w:lvlJc w:val="left"/>
      <w:pPr>
        <w:ind w:left="180" w:hanging="360"/>
      </w:pPr>
      <w:rPr>
        <w:rFonts w:ascii="Symbol" w:hAnsi="Symbol" w:hint="default"/>
      </w:rPr>
    </w:lvl>
    <w:lvl w:ilvl="1" w:tplc="2898AC9C" w:tentative="1">
      <w:start w:val="1"/>
      <w:numFmt w:val="bullet"/>
      <w:lvlText w:val="o"/>
      <w:lvlJc w:val="left"/>
      <w:pPr>
        <w:ind w:left="900" w:hanging="360"/>
      </w:pPr>
      <w:rPr>
        <w:rFonts w:ascii="Courier New" w:hAnsi="Courier New" w:cs="Courier New" w:hint="default"/>
      </w:rPr>
    </w:lvl>
    <w:lvl w:ilvl="2" w:tplc="8AAC88D8" w:tentative="1">
      <w:start w:val="1"/>
      <w:numFmt w:val="bullet"/>
      <w:lvlText w:val=""/>
      <w:lvlJc w:val="left"/>
      <w:pPr>
        <w:ind w:left="1620" w:hanging="360"/>
      </w:pPr>
      <w:rPr>
        <w:rFonts w:ascii="Wingdings" w:hAnsi="Wingdings" w:hint="default"/>
      </w:rPr>
    </w:lvl>
    <w:lvl w:ilvl="3" w:tplc="6F709FC4" w:tentative="1">
      <w:start w:val="1"/>
      <w:numFmt w:val="bullet"/>
      <w:lvlText w:val=""/>
      <w:lvlJc w:val="left"/>
      <w:pPr>
        <w:ind w:left="2340" w:hanging="360"/>
      </w:pPr>
      <w:rPr>
        <w:rFonts w:ascii="Symbol" w:hAnsi="Symbol" w:hint="default"/>
      </w:rPr>
    </w:lvl>
    <w:lvl w:ilvl="4" w:tplc="C5968DF0" w:tentative="1">
      <w:start w:val="1"/>
      <w:numFmt w:val="bullet"/>
      <w:lvlText w:val="o"/>
      <w:lvlJc w:val="left"/>
      <w:pPr>
        <w:ind w:left="3060" w:hanging="360"/>
      </w:pPr>
      <w:rPr>
        <w:rFonts w:ascii="Courier New" w:hAnsi="Courier New" w:cs="Courier New" w:hint="default"/>
      </w:rPr>
    </w:lvl>
    <w:lvl w:ilvl="5" w:tplc="C9DA6878" w:tentative="1">
      <w:start w:val="1"/>
      <w:numFmt w:val="bullet"/>
      <w:lvlText w:val=""/>
      <w:lvlJc w:val="left"/>
      <w:pPr>
        <w:ind w:left="3780" w:hanging="360"/>
      </w:pPr>
      <w:rPr>
        <w:rFonts w:ascii="Wingdings" w:hAnsi="Wingdings" w:hint="default"/>
      </w:rPr>
    </w:lvl>
    <w:lvl w:ilvl="6" w:tplc="4482AA0E" w:tentative="1">
      <w:start w:val="1"/>
      <w:numFmt w:val="bullet"/>
      <w:lvlText w:val=""/>
      <w:lvlJc w:val="left"/>
      <w:pPr>
        <w:ind w:left="4500" w:hanging="360"/>
      </w:pPr>
      <w:rPr>
        <w:rFonts w:ascii="Symbol" w:hAnsi="Symbol" w:hint="default"/>
      </w:rPr>
    </w:lvl>
    <w:lvl w:ilvl="7" w:tplc="628E3A56" w:tentative="1">
      <w:start w:val="1"/>
      <w:numFmt w:val="bullet"/>
      <w:lvlText w:val="o"/>
      <w:lvlJc w:val="left"/>
      <w:pPr>
        <w:ind w:left="5220" w:hanging="360"/>
      </w:pPr>
      <w:rPr>
        <w:rFonts w:ascii="Courier New" w:hAnsi="Courier New" w:cs="Courier New" w:hint="default"/>
      </w:rPr>
    </w:lvl>
    <w:lvl w:ilvl="8" w:tplc="4F2E1BDE"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62EC733A">
      <w:start w:val="1"/>
      <w:numFmt w:val="bullet"/>
      <w:lvlText w:val=""/>
      <w:lvlJc w:val="left"/>
      <w:pPr>
        <w:ind w:left="720" w:hanging="360"/>
      </w:pPr>
      <w:rPr>
        <w:rFonts w:ascii="Symbol" w:hAnsi="Symbol" w:hint="default"/>
      </w:rPr>
    </w:lvl>
    <w:lvl w:ilvl="1" w:tplc="D704576E" w:tentative="1">
      <w:start w:val="1"/>
      <w:numFmt w:val="bullet"/>
      <w:lvlText w:val="o"/>
      <w:lvlJc w:val="left"/>
      <w:pPr>
        <w:ind w:left="1440" w:hanging="360"/>
      </w:pPr>
      <w:rPr>
        <w:rFonts w:ascii="Courier New" w:hAnsi="Courier New" w:cs="Courier New" w:hint="default"/>
      </w:rPr>
    </w:lvl>
    <w:lvl w:ilvl="2" w:tplc="A140A084" w:tentative="1">
      <w:start w:val="1"/>
      <w:numFmt w:val="bullet"/>
      <w:lvlText w:val=""/>
      <w:lvlJc w:val="left"/>
      <w:pPr>
        <w:ind w:left="2160" w:hanging="360"/>
      </w:pPr>
      <w:rPr>
        <w:rFonts w:ascii="Wingdings" w:hAnsi="Wingdings" w:hint="default"/>
      </w:rPr>
    </w:lvl>
    <w:lvl w:ilvl="3" w:tplc="858A7ADA" w:tentative="1">
      <w:start w:val="1"/>
      <w:numFmt w:val="bullet"/>
      <w:lvlText w:val=""/>
      <w:lvlJc w:val="left"/>
      <w:pPr>
        <w:ind w:left="2880" w:hanging="360"/>
      </w:pPr>
      <w:rPr>
        <w:rFonts w:ascii="Symbol" w:hAnsi="Symbol" w:hint="default"/>
      </w:rPr>
    </w:lvl>
    <w:lvl w:ilvl="4" w:tplc="942AB5B4" w:tentative="1">
      <w:start w:val="1"/>
      <w:numFmt w:val="bullet"/>
      <w:lvlText w:val="o"/>
      <w:lvlJc w:val="left"/>
      <w:pPr>
        <w:ind w:left="3600" w:hanging="360"/>
      </w:pPr>
      <w:rPr>
        <w:rFonts w:ascii="Courier New" w:hAnsi="Courier New" w:cs="Courier New" w:hint="default"/>
      </w:rPr>
    </w:lvl>
    <w:lvl w:ilvl="5" w:tplc="3AE23984" w:tentative="1">
      <w:start w:val="1"/>
      <w:numFmt w:val="bullet"/>
      <w:lvlText w:val=""/>
      <w:lvlJc w:val="left"/>
      <w:pPr>
        <w:ind w:left="4320" w:hanging="360"/>
      </w:pPr>
      <w:rPr>
        <w:rFonts w:ascii="Wingdings" w:hAnsi="Wingdings" w:hint="default"/>
      </w:rPr>
    </w:lvl>
    <w:lvl w:ilvl="6" w:tplc="D97CEA02" w:tentative="1">
      <w:start w:val="1"/>
      <w:numFmt w:val="bullet"/>
      <w:lvlText w:val=""/>
      <w:lvlJc w:val="left"/>
      <w:pPr>
        <w:ind w:left="5040" w:hanging="360"/>
      </w:pPr>
      <w:rPr>
        <w:rFonts w:ascii="Symbol" w:hAnsi="Symbol" w:hint="default"/>
      </w:rPr>
    </w:lvl>
    <w:lvl w:ilvl="7" w:tplc="0D68B364" w:tentative="1">
      <w:start w:val="1"/>
      <w:numFmt w:val="bullet"/>
      <w:lvlText w:val="o"/>
      <w:lvlJc w:val="left"/>
      <w:pPr>
        <w:ind w:left="5760" w:hanging="360"/>
      </w:pPr>
      <w:rPr>
        <w:rFonts w:ascii="Courier New" w:hAnsi="Courier New" w:cs="Courier New" w:hint="default"/>
      </w:rPr>
    </w:lvl>
    <w:lvl w:ilvl="8" w:tplc="96C692E2"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9D5C7C92">
      <w:start w:val="1"/>
      <w:numFmt w:val="bullet"/>
      <w:lvlText w:val=""/>
      <w:lvlJc w:val="left"/>
      <w:pPr>
        <w:ind w:left="180" w:hanging="360"/>
      </w:pPr>
      <w:rPr>
        <w:rFonts w:ascii="Symbol" w:hAnsi="Symbol" w:hint="default"/>
      </w:rPr>
    </w:lvl>
    <w:lvl w:ilvl="1" w:tplc="8750AB7A" w:tentative="1">
      <w:start w:val="1"/>
      <w:numFmt w:val="bullet"/>
      <w:lvlText w:val="o"/>
      <w:lvlJc w:val="left"/>
      <w:pPr>
        <w:ind w:left="900" w:hanging="360"/>
      </w:pPr>
      <w:rPr>
        <w:rFonts w:ascii="Courier New" w:hAnsi="Courier New" w:cs="Courier New" w:hint="default"/>
      </w:rPr>
    </w:lvl>
    <w:lvl w:ilvl="2" w:tplc="EF425820" w:tentative="1">
      <w:start w:val="1"/>
      <w:numFmt w:val="bullet"/>
      <w:lvlText w:val=""/>
      <w:lvlJc w:val="left"/>
      <w:pPr>
        <w:ind w:left="1620" w:hanging="360"/>
      </w:pPr>
      <w:rPr>
        <w:rFonts w:ascii="Wingdings" w:hAnsi="Wingdings" w:hint="default"/>
      </w:rPr>
    </w:lvl>
    <w:lvl w:ilvl="3" w:tplc="3578CD52" w:tentative="1">
      <w:start w:val="1"/>
      <w:numFmt w:val="bullet"/>
      <w:lvlText w:val=""/>
      <w:lvlJc w:val="left"/>
      <w:pPr>
        <w:ind w:left="2340" w:hanging="360"/>
      </w:pPr>
      <w:rPr>
        <w:rFonts w:ascii="Symbol" w:hAnsi="Symbol" w:hint="default"/>
      </w:rPr>
    </w:lvl>
    <w:lvl w:ilvl="4" w:tplc="3D0204CE" w:tentative="1">
      <w:start w:val="1"/>
      <w:numFmt w:val="bullet"/>
      <w:lvlText w:val="o"/>
      <w:lvlJc w:val="left"/>
      <w:pPr>
        <w:ind w:left="3060" w:hanging="360"/>
      </w:pPr>
      <w:rPr>
        <w:rFonts w:ascii="Courier New" w:hAnsi="Courier New" w:cs="Courier New" w:hint="default"/>
      </w:rPr>
    </w:lvl>
    <w:lvl w:ilvl="5" w:tplc="A83ECF6C" w:tentative="1">
      <w:start w:val="1"/>
      <w:numFmt w:val="bullet"/>
      <w:lvlText w:val=""/>
      <w:lvlJc w:val="left"/>
      <w:pPr>
        <w:ind w:left="3780" w:hanging="360"/>
      </w:pPr>
      <w:rPr>
        <w:rFonts w:ascii="Wingdings" w:hAnsi="Wingdings" w:hint="default"/>
      </w:rPr>
    </w:lvl>
    <w:lvl w:ilvl="6" w:tplc="081C6AA4" w:tentative="1">
      <w:start w:val="1"/>
      <w:numFmt w:val="bullet"/>
      <w:lvlText w:val=""/>
      <w:lvlJc w:val="left"/>
      <w:pPr>
        <w:ind w:left="4500" w:hanging="360"/>
      </w:pPr>
      <w:rPr>
        <w:rFonts w:ascii="Symbol" w:hAnsi="Symbol" w:hint="default"/>
      </w:rPr>
    </w:lvl>
    <w:lvl w:ilvl="7" w:tplc="9E803EDE" w:tentative="1">
      <w:start w:val="1"/>
      <w:numFmt w:val="bullet"/>
      <w:lvlText w:val="o"/>
      <w:lvlJc w:val="left"/>
      <w:pPr>
        <w:ind w:left="5220" w:hanging="360"/>
      </w:pPr>
      <w:rPr>
        <w:rFonts w:ascii="Courier New" w:hAnsi="Courier New" w:cs="Courier New" w:hint="default"/>
      </w:rPr>
    </w:lvl>
    <w:lvl w:ilvl="8" w:tplc="1B4C8F52"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1620371E">
      <w:start w:val="1"/>
      <w:numFmt w:val="bullet"/>
      <w:lvlText w:val=""/>
      <w:lvlJc w:val="left"/>
      <w:pPr>
        <w:ind w:left="720" w:hanging="360"/>
      </w:pPr>
      <w:rPr>
        <w:rFonts w:ascii="Symbol" w:hAnsi="Symbol" w:hint="default"/>
      </w:rPr>
    </w:lvl>
    <w:lvl w:ilvl="1" w:tplc="C15A45FC" w:tentative="1">
      <w:start w:val="1"/>
      <w:numFmt w:val="bullet"/>
      <w:lvlText w:val="o"/>
      <w:lvlJc w:val="left"/>
      <w:pPr>
        <w:ind w:left="1440" w:hanging="360"/>
      </w:pPr>
      <w:rPr>
        <w:rFonts w:ascii="Courier New" w:hAnsi="Courier New" w:cs="Courier New" w:hint="default"/>
      </w:rPr>
    </w:lvl>
    <w:lvl w:ilvl="2" w:tplc="6BF63AB4" w:tentative="1">
      <w:start w:val="1"/>
      <w:numFmt w:val="bullet"/>
      <w:lvlText w:val=""/>
      <w:lvlJc w:val="left"/>
      <w:pPr>
        <w:ind w:left="2160" w:hanging="360"/>
      </w:pPr>
      <w:rPr>
        <w:rFonts w:ascii="Wingdings" w:hAnsi="Wingdings" w:hint="default"/>
      </w:rPr>
    </w:lvl>
    <w:lvl w:ilvl="3" w:tplc="6718A08E" w:tentative="1">
      <w:start w:val="1"/>
      <w:numFmt w:val="bullet"/>
      <w:lvlText w:val=""/>
      <w:lvlJc w:val="left"/>
      <w:pPr>
        <w:ind w:left="2880" w:hanging="360"/>
      </w:pPr>
      <w:rPr>
        <w:rFonts w:ascii="Symbol" w:hAnsi="Symbol" w:hint="default"/>
      </w:rPr>
    </w:lvl>
    <w:lvl w:ilvl="4" w:tplc="04348F52" w:tentative="1">
      <w:start w:val="1"/>
      <w:numFmt w:val="bullet"/>
      <w:lvlText w:val="o"/>
      <w:lvlJc w:val="left"/>
      <w:pPr>
        <w:ind w:left="3600" w:hanging="360"/>
      </w:pPr>
      <w:rPr>
        <w:rFonts w:ascii="Courier New" w:hAnsi="Courier New" w:cs="Courier New" w:hint="default"/>
      </w:rPr>
    </w:lvl>
    <w:lvl w:ilvl="5" w:tplc="E6BAF284" w:tentative="1">
      <w:start w:val="1"/>
      <w:numFmt w:val="bullet"/>
      <w:lvlText w:val=""/>
      <w:lvlJc w:val="left"/>
      <w:pPr>
        <w:ind w:left="4320" w:hanging="360"/>
      </w:pPr>
      <w:rPr>
        <w:rFonts w:ascii="Wingdings" w:hAnsi="Wingdings" w:hint="default"/>
      </w:rPr>
    </w:lvl>
    <w:lvl w:ilvl="6" w:tplc="4F5A8F94" w:tentative="1">
      <w:start w:val="1"/>
      <w:numFmt w:val="bullet"/>
      <w:lvlText w:val=""/>
      <w:lvlJc w:val="left"/>
      <w:pPr>
        <w:ind w:left="5040" w:hanging="360"/>
      </w:pPr>
      <w:rPr>
        <w:rFonts w:ascii="Symbol" w:hAnsi="Symbol" w:hint="default"/>
      </w:rPr>
    </w:lvl>
    <w:lvl w:ilvl="7" w:tplc="A86CC5F4" w:tentative="1">
      <w:start w:val="1"/>
      <w:numFmt w:val="bullet"/>
      <w:lvlText w:val="o"/>
      <w:lvlJc w:val="left"/>
      <w:pPr>
        <w:ind w:left="5760" w:hanging="360"/>
      </w:pPr>
      <w:rPr>
        <w:rFonts w:ascii="Courier New" w:hAnsi="Courier New" w:cs="Courier New" w:hint="default"/>
      </w:rPr>
    </w:lvl>
    <w:lvl w:ilvl="8" w:tplc="D0E22488"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25429B8A">
      <w:start w:val="1"/>
      <w:numFmt w:val="bullet"/>
      <w:lvlText w:val=""/>
      <w:lvlJc w:val="left"/>
      <w:pPr>
        <w:ind w:left="720" w:hanging="360"/>
      </w:pPr>
      <w:rPr>
        <w:rFonts w:ascii="Symbol" w:hAnsi="Symbol" w:hint="default"/>
      </w:rPr>
    </w:lvl>
    <w:lvl w:ilvl="1" w:tplc="8AD44AC8">
      <w:start w:val="1"/>
      <w:numFmt w:val="bullet"/>
      <w:lvlText w:val="o"/>
      <w:lvlJc w:val="left"/>
      <w:pPr>
        <w:ind w:left="1440" w:hanging="360"/>
      </w:pPr>
      <w:rPr>
        <w:rFonts w:ascii="Courier New" w:hAnsi="Courier New" w:cs="Courier New" w:hint="default"/>
      </w:rPr>
    </w:lvl>
    <w:lvl w:ilvl="2" w:tplc="354878C4" w:tentative="1">
      <w:start w:val="1"/>
      <w:numFmt w:val="bullet"/>
      <w:lvlText w:val=""/>
      <w:lvlJc w:val="left"/>
      <w:pPr>
        <w:ind w:left="2160" w:hanging="360"/>
      </w:pPr>
      <w:rPr>
        <w:rFonts w:ascii="Wingdings" w:hAnsi="Wingdings" w:hint="default"/>
      </w:rPr>
    </w:lvl>
    <w:lvl w:ilvl="3" w:tplc="6D70EC0C" w:tentative="1">
      <w:start w:val="1"/>
      <w:numFmt w:val="bullet"/>
      <w:lvlText w:val=""/>
      <w:lvlJc w:val="left"/>
      <w:pPr>
        <w:ind w:left="2880" w:hanging="360"/>
      </w:pPr>
      <w:rPr>
        <w:rFonts w:ascii="Symbol" w:hAnsi="Symbol" w:hint="default"/>
      </w:rPr>
    </w:lvl>
    <w:lvl w:ilvl="4" w:tplc="20082A42" w:tentative="1">
      <w:start w:val="1"/>
      <w:numFmt w:val="bullet"/>
      <w:lvlText w:val="o"/>
      <w:lvlJc w:val="left"/>
      <w:pPr>
        <w:ind w:left="3600" w:hanging="360"/>
      </w:pPr>
      <w:rPr>
        <w:rFonts w:ascii="Courier New" w:hAnsi="Courier New" w:cs="Courier New" w:hint="default"/>
      </w:rPr>
    </w:lvl>
    <w:lvl w:ilvl="5" w:tplc="A1DCE142" w:tentative="1">
      <w:start w:val="1"/>
      <w:numFmt w:val="bullet"/>
      <w:lvlText w:val=""/>
      <w:lvlJc w:val="left"/>
      <w:pPr>
        <w:ind w:left="4320" w:hanging="360"/>
      </w:pPr>
      <w:rPr>
        <w:rFonts w:ascii="Wingdings" w:hAnsi="Wingdings" w:hint="default"/>
      </w:rPr>
    </w:lvl>
    <w:lvl w:ilvl="6" w:tplc="1E3E8580" w:tentative="1">
      <w:start w:val="1"/>
      <w:numFmt w:val="bullet"/>
      <w:lvlText w:val=""/>
      <w:lvlJc w:val="left"/>
      <w:pPr>
        <w:ind w:left="5040" w:hanging="360"/>
      </w:pPr>
      <w:rPr>
        <w:rFonts w:ascii="Symbol" w:hAnsi="Symbol" w:hint="default"/>
      </w:rPr>
    </w:lvl>
    <w:lvl w:ilvl="7" w:tplc="EB720BCC" w:tentative="1">
      <w:start w:val="1"/>
      <w:numFmt w:val="bullet"/>
      <w:lvlText w:val="o"/>
      <w:lvlJc w:val="left"/>
      <w:pPr>
        <w:ind w:left="5760" w:hanging="360"/>
      </w:pPr>
      <w:rPr>
        <w:rFonts w:ascii="Courier New" w:hAnsi="Courier New" w:cs="Courier New" w:hint="default"/>
      </w:rPr>
    </w:lvl>
    <w:lvl w:ilvl="8" w:tplc="ECC60B4E"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2534BA56">
      <w:start w:val="1"/>
      <w:numFmt w:val="bullet"/>
      <w:lvlText w:val=""/>
      <w:lvlJc w:val="left"/>
      <w:pPr>
        <w:ind w:left="1440" w:hanging="360"/>
      </w:pPr>
      <w:rPr>
        <w:rFonts w:ascii="Symbol" w:hAnsi="Symbol" w:hint="default"/>
      </w:rPr>
    </w:lvl>
    <w:lvl w:ilvl="1" w:tplc="208E3198" w:tentative="1">
      <w:start w:val="1"/>
      <w:numFmt w:val="bullet"/>
      <w:lvlText w:val="o"/>
      <w:lvlJc w:val="left"/>
      <w:pPr>
        <w:ind w:left="2160" w:hanging="360"/>
      </w:pPr>
      <w:rPr>
        <w:rFonts w:ascii="Courier New" w:hAnsi="Courier New" w:cs="Courier New" w:hint="default"/>
      </w:rPr>
    </w:lvl>
    <w:lvl w:ilvl="2" w:tplc="FEA810A8" w:tentative="1">
      <w:start w:val="1"/>
      <w:numFmt w:val="bullet"/>
      <w:lvlText w:val=""/>
      <w:lvlJc w:val="left"/>
      <w:pPr>
        <w:ind w:left="2880" w:hanging="360"/>
      </w:pPr>
      <w:rPr>
        <w:rFonts w:ascii="Wingdings" w:hAnsi="Wingdings" w:hint="default"/>
      </w:rPr>
    </w:lvl>
    <w:lvl w:ilvl="3" w:tplc="43BCE58E" w:tentative="1">
      <w:start w:val="1"/>
      <w:numFmt w:val="bullet"/>
      <w:lvlText w:val=""/>
      <w:lvlJc w:val="left"/>
      <w:pPr>
        <w:ind w:left="3600" w:hanging="360"/>
      </w:pPr>
      <w:rPr>
        <w:rFonts w:ascii="Symbol" w:hAnsi="Symbol" w:hint="default"/>
      </w:rPr>
    </w:lvl>
    <w:lvl w:ilvl="4" w:tplc="3EDE3410" w:tentative="1">
      <w:start w:val="1"/>
      <w:numFmt w:val="bullet"/>
      <w:lvlText w:val="o"/>
      <w:lvlJc w:val="left"/>
      <w:pPr>
        <w:ind w:left="4320" w:hanging="360"/>
      </w:pPr>
      <w:rPr>
        <w:rFonts w:ascii="Courier New" w:hAnsi="Courier New" w:cs="Courier New" w:hint="default"/>
      </w:rPr>
    </w:lvl>
    <w:lvl w:ilvl="5" w:tplc="C9F65A6E" w:tentative="1">
      <w:start w:val="1"/>
      <w:numFmt w:val="bullet"/>
      <w:lvlText w:val=""/>
      <w:lvlJc w:val="left"/>
      <w:pPr>
        <w:ind w:left="5040" w:hanging="360"/>
      </w:pPr>
      <w:rPr>
        <w:rFonts w:ascii="Wingdings" w:hAnsi="Wingdings" w:hint="default"/>
      </w:rPr>
    </w:lvl>
    <w:lvl w:ilvl="6" w:tplc="B256250C" w:tentative="1">
      <w:start w:val="1"/>
      <w:numFmt w:val="bullet"/>
      <w:lvlText w:val=""/>
      <w:lvlJc w:val="left"/>
      <w:pPr>
        <w:ind w:left="5760" w:hanging="360"/>
      </w:pPr>
      <w:rPr>
        <w:rFonts w:ascii="Symbol" w:hAnsi="Symbol" w:hint="default"/>
      </w:rPr>
    </w:lvl>
    <w:lvl w:ilvl="7" w:tplc="89EED084" w:tentative="1">
      <w:start w:val="1"/>
      <w:numFmt w:val="bullet"/>
      <w:lvlText w:val="o"/>
      <w:lvlJc w:val="left"/>
      <w:pPr>
        <w:ind w:left="6480" w:hanging="360"/>
      </w:pPr>
      <w:rPr>
        <w:rFonts w:ascii="Courier New" w:hAnsi="Courier New" w:cs="Courier New" w:hint="default"/>
      </w:rPr>
    </w:lvl>
    <w:lvl w:ilvl="8" w:tplc="DF4AD73C"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4A32E72A">
      <w:start w:val="1"/>
      <w:numFmt w:val="decimal"/>
      <w:lvlText w:val="(%1)"/>
      <w:lvlJc w:val="left"/>
      <w:pPr>
        <w:ind w:left="360" w:hanging="360"/>
      </w:pPr>
      <w:rPr>
        <w:rFonts w:hint="default"/>
      </w:rPr>
    </w:lvl>
    <w:lvl w:ilvl="1" w:tplc="CDF27832" w:tentative="1">
      <w:start w:val="1"/>
      <w:numFmt w:val="lowerLetter"/>
      <w:lvlText w:val="%2."/>
      <w:lvlJc w:val="left"/>
      <w:pPr>
        <w:ind w:left="1080" w:hanging="360"/>
      </w:pPr>
    </w:lvl>
    <w:lvl w:ilvl="2" w:tplc="8C528C32" w:tentative="1">
      <w:start w:val="1"/>
      <w:numFmt w:val="lowerRoman"/>
      <w:lvlText w:val="%3."/>
      <w:lvlJc w:val="right"/>
      <w:pPr>
        <w:ind w:left="1800" w:hanging="180"/>
      </w:pPr>
    </w:lvl>
    <w:lvl w:ilvl="3" w:tplc="ED845EDE" w:tentative="1">
      <w:start w:val="1"/>
      <w:numFmt w:val="decimal"/>
      <w:lvlText w:val="%4."/>
      <w:lvlJc w:val="left"/>
      <w:pPr>
        <w:ind w:left="2520" w:hanging="360"/>
      </w:pPr>
    </w:lvl>
    <w:lvl w:ilvl="4" w:tplc="BED6C79C" w:tentative="1">
      <w:start w:val="1"/>
      <w:numFmt w:val="lowerLetter"/>
      <w:lvlText w:val="%5."/>
      <w:lvlJc w:val="left"/>
      <w:pPr>
        <w:ind w:left="3240" w:hanging="360"/>
      </w:pPr>
    </w:lvl>
    <w:lvl w:ilvl="5" w:tplc="59E29CD2" w:tentative="1">
      <w:start w:val="1"/>
      <w:numFmt w:val="lowerRoman"/>
      <w:lvlText w:val="%6."/>
      <w:lvlJc w:val="right"/>
      <w:pPr>
        <w:ind w:left="3960" w:hanging="180"/>
      </w:pPr>
    </w:lvl>
    <w:lvl w:ilvl="6" w:tplc="BA40E040" w:tentative="1">
      <w:start w:val="1"/>
      <w:numFmt w:val="decimal"/>
      <w:lvlText w:val="%7."/>
      <w:lvlJc w:val="left"/>
      <w:pPr>
        <w:ind w:left="4680" w:hanging="360"/>
      </w:pPr>
    </w:lvl>
    <w:lvl w:ilvl="7" w:tplc="B3A66BA8" w:tentative="1">
      <w:start w:val="1"/>
      <w:numFmt w:val="lowerLetter"/>
      <w:lvlText w:val="%8."/>
      <w:lvlJc w:val="left"/>
      <w:pPr>
        <w:ind w:left="5400" w:hanging="360"/>
      </w:pPr>
    </w:lvl>
    <w:lvl w:ilvl="8" w:tplc="7B283130" w:tentative="1">
      <w:start w:val="1"/>
      <w:numFmt w:val="lowerRoman"/>
      <w:lvlText w:val="%9."/>
      <w:lvlJc w:val="right"/>
      <w:pPr>
        <w:ind w:left="6120" w:hanging="180"/>
      </w:pPr>
    </w:lvl>
  </w:abstractNum>
  <w:num w:numId="1" w16cid:durableId="217938049">
    <w:abstractNumId w:val="10"/>
  </w:num>
  <w:num w:numId="2" w16cid:durableId="1487434195">
    <w:abstractNumId w:val="8"/>
  </w:num>
  <w:num w:numId="3" w16cid:durableId="994184962">
    <w:abstractNumId w:val="7"/>
  </w:num>
  <w:num w:numId="4" w16cid:durableId="1536695109">
    <w:abstractNumId w:val="6"/>
  </w:num>
  <w:num w:numId="5" w16cid:durableId="470441368">
    <w:abstractNumId w:val="5"/>
  </w:num>
  <w:num w:numId="6" w16cid:durableId="1383821979">
    <w:abstractNumId w:val="9"/>
  </w:num>
  <w:num w:numId="7" w16cid:durableId="1626540373">
    <w:abstractNumId w:val="4"/>
  </w:num>
  <w:num w:numId="8" w16cid:durableId="1056203435">
    <w:abstractNumId w:val="3"/>
  </w:num>
  <w:num w:numId="9" w16cid:durableId="308556156">
    <w:abstractNumId w:val="2"/>
  </w:num>
  <w:num w:numId="10" w16cid:durableId="341006580">
    <w:abstractNumId w:val="1"/>
  </w:num>
  <w:num w:numId="11" w16cid:durableId="1412660467">
    <w:abstractNumId w:val="0"/>
  </w:num>
  <w:num w:numId="12" w16cid:durableId="1212613767">
    <w:abstractNumId w:val="12"/>
  </w:num>
  <w:num w:numId="13" w16cid:durableId="443311592">
    <w:abstractNumId w:val="25"/>
  </w:num>
  <w:num w:numId="14" w16cid:durableId="611790999">
    <w:abstractNumId w:val="19"/>
  </w:num>
  <w:num w:numId="15" w16cid:durableId="2061633932">
    <w:abstractNumId w:val="23"/>
  </w:num>
  <w:num w:numId="16" w16cid:durableId="495340746">
    <w:abstractNumId w:val="14"/>
  </w:num>
  <w:num w:numId="17" w16cid:durableId="1107698357">
    <w:abstractNumId w:val="16"/>
  </w:num>
  <w:num w:numId="18" w16cid:durableId="368847272">
    <w:abstractNumId w:val="24"/>
  </w:num>
  <w:num w:numId="19" w16cid:durableId="1659261478">
    <w:abstractNumId w:val="11"/>
  </w:num>
  <w:num w:numId="20" w16cid:durableId="228660010">
    <w:abstractNumId w:val="21"/>
  </w:num>
  <w:num w:numId="21" w16cid:durableId="1854953883">
    <w:abstractNumId w:val="18"/>
  </w:num>
  <w:num w:numId="22" w16cid:durableId="1159077980">
    <w:abstractNumId w:val="22"/>
  </w:num>
  <w:num w:numId="23" w16cid:durableId="1632633796">
    <w:abstractNumId w:val="20"/>
  </w:num>
  <w:num w:numId="24" w16cid:durableId="1102142278">
    <w:abstractNumId w:val="13"/>
  </w:num>
  <w:num w:numId="25" w16cid:durableId="495730797">
    <w:abstractNumId w:val="15"/>
  </w:num>
  <w:num w:numId="26" w16cid:durableId="762265282">
    <w:abstractNumId w:val="17"/>
  </w:num>
  <w:num w:numId="27" w16cid:durableId="407197432">
    <w:abstractNumId w:val="26"/>
  </w:num>
  <w:num w:numId="28" w16cid:durableId="1468280408">
    <w:abstractNumId w:val="27"/>
  </w:num>
  <w:num w:numId="29" w16cid:durableId="6977790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43"/>
    <w:rsid w:val="00295443"/>
    <w:rsid w:val="00BA1346"/>
    <w:rsid w:val="00E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B344"/>
  <w15:docId w15:val="{098AF5D6-893D-4C35-A6B8-C4BAFBF8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footer" Target="footer3.xml"/><Relationship Id="rId33" Type="http://schemas.openxmlformats.org/officeDocument/2006/relationships/chart" Target="charts/chart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t.vic.edu.au/"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chart" Target="charts/chart2.xml"/><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yperlink" Target="file:///C:\Users\08067131\Downloads\www.glenroy.ss@education.vic.gov.au" TargetMode="External"/><Relationship Id="rId30" Type="http://schemas.openxmlformats.org/officeDocument/2006/relationships/header" Target="header7.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8196086029839185"/>
          <c:y val="2.8624864071691538E-2"/>
        </c:manualLayout>
      </c:layout>
      <c:overlay val="0"/>
      <c:spPr>
        <a:noFill/>
        <a:ln>
          <a:noFill/>
        </a:ln>
      </c:spPr>
    </c:title>
    <c:autoTitleDeleted val="0"/>
    <c:plotArea>
      <c:layout>
        <c:manualLayout>
          <c:layoutTarget val="inner"/>
          <c:xMode val="edge"/>
          <c:yMode val="edge"/>
          <c:x val="0.16961988143090501"/>
          <c:y val="0.17224392695593899"/>
          <c:w val="0.76236348952884381"/>
          <c:h val="0.55478795183879881"/>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chemeClr val="accent4"/>
              </a:solidFill>
              <a:ln>
                <a:noFill/>
              </a:ln>
            </c:spPr>
            <c:extLst>
              <c:ext xmlns:c16="http://schemas.microsoft.com/office/drawing/2014/chart" uri="{C3380CC4-5D6E-409C-BE32-E72D297353CC}">
                <c16:uniqueId val="{00000001-0800-46C8-ACE2-6CB0D9DA157E}"/>
              </c:ext>
            </c:extLst>
          </c:dPt>
          <c:dPt>
            <c:idx val="1"/>
            <c:invertIfNegative val="0"/>
            <c:bubble3D val="0"/>
            <c:spPr>
              <a:solidFill>
                <a:schemeClr val="accent3"/>
              </a:solidFill>
              <a:ln>
                <a:noFill/>
              </a:ln>
            </c:spPr>
            <c:extLst>
              <c:ext xmlns:c16="http://schemas.microsoft.com/office/drawing/2014/chart" uri="{C3380CC4-5D6E-409C-BE32-E72D297353CC}">
                <c16:uniqueId val="{00000003-0800-46C8-ACE2-6CB0D9DA157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spec!$J$3:$J$4</c:f>
              <c:strCache>
                <c:ptCount val="2"/>
                <c:pt idx="0">
                  <c:v>School</c:v>
                </c:pt>
                <c:pt idx="1">
                  <c:v>State</c:v>
                </c:pt>
              </c:strCache>
            </c:strRef>
          </c:cat>
          <c:val>
            <c:numRef>
              <c:f>spec!$C$3:$C$4</c:f>
              <c:numCache>
                <c:formatCode>0.0%</c:formatCode>
                <c:ptCount val="2"/>
                <c:pt idx="0">
                  <c:v>1</c:v>
                </c:pt>
                <c:pt idx="1">
                  <c:v>0.84599999999999997</c:v>
                </c:pt>
              </c:numCache>
            </c:numRef>
          </c:val>
          <c:extLst>
            <c:ext xmlns:c16="http://schemas.microsoft.com/office/drawing/2014/chart" uri="{C3380CC4-5D6E-409C-BE32-E72D297353CC}">
              <c16:uniqueId val="{00000004-0800-46C8-ACE2-6CB0D9DA157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layout>
            <c:manualLayout>
              <c:xMode val="edge"/>
              <c:yMode val="edge"/>
              <c:x val="0.3724639825950839"/>
              <c:y val="0.88493521296526789"/>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1678122375515883"/>
          <c:y val="5.4263565891472867E-2"/>
        </c:manualLayout>
      </c:layout>
      <c:overlay val="0"/>
      <c:spPr>
        <a:noFill/>
        <a:ln>
          <a:noFill/>
        </a:ln>
      </c:spPr>
    </c:title>
    <c:autoTitleDeleted val="0"/>
    <c:plotArea>
      <c:layout>
        <c:manualLayout>
          <c:layoutTarget val="inner"/>
          <c:xMode val="edge"/>
          <c:yMode val="edge"/>
          <c:x val="0.1831840551181102"/>
          <c:y val="0.19344991759750962"/>
          <c:w val="0.75070833333333331"/>
          <c:h val="0.52228834767747057"/>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chemeClr val="accent4"/>
              </a:solidFill>
              <a:ln>
                <a:noFill/>
              </a:ln>
            </c:spPr>
            <c:extLst>
              <c:ext xmlns:c16="http://schemas.microsoft.com/office/drawing/2014/chart" uri="{C3380CC4-5D6E-409C-BE32-E72D297353CC}">
                <c16:uniqueId val="{00000001-5236-4A7C-A2A5-37DFC6039D15}"/>
              </c:ext>
            </c:extLst>
          </c:dPt>
          <c:dPt>
            <c:idx val="1"/>
            <c:invertIfNegative val="0"/>
            <c:bubble3D val="0"/>
            <c:spPr>
              <a:solidFill>
                <a:schemeClr val="accent3"/>
              </a:solidFill>
              <a:ln>
                <a:noFill/>
              </a:ln>
            </c:spPr>
            <c:extLst>
              <c:ext xmlns:c16="http://schemas.microsoft.com/office/drawing/2014/chart" uri="{C3380CC4-5D6E-409C-BE32-E72D297353CC}">
                <c16:uniqueId val="{00000003-5236-4A7C-A2A5-37DFC6039D1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spec!$J$3:$J$4</c:f>
              <c:strCache>
                <c:ptCount val="2"/>
                <c:pt idx="0">
                  <c:v>School</c:v>
                </c:pt>
                <c:pt idx="1">
                  <c:v>State</c:v>
                </c:pt>
              </c:strCache>
            </c:strRef>
          </c:cat>
          <c:val>
            <c:numRef>
              <c:f>spec!$C$14:$C$15</c:f>
              <c:numCache>
                <c:formatCode>0.0%</c:formatCode>
                <c:ptCount val="2"/>
                <c:pt idx="0">
                  <c:v>0.71399999999999997</c:v>
                </c:pt>
                <c:pt idx="1">
                  <c:v>0.67800000000000005</c:v>
                </c:pt>
              </c:numCache>
            </c:numRef>
          </c:val>
          <c:extLst>
            <c:ext xmlns:c16="http://schemas.microsoft.com/office/drawing/2014/chart" uri="{C3380CC4-5D6E-409C-BE32-E72D297353CC}">
              <c16:uniqueId val="{00000004-5236-4A7C-A2A5-37DFC6039D1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layout>
            <c:manualLayout>
              <c:xMode val="edge"/>
              <c:yMode val="edge"/>
              <c:x val="0.3784046742296881"/>
              <c:y val="0.8628700482207167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US" sz="900" b="1" i="0" baseline="0">
                <a:latin typeface="Arial" panose="020B0604020202020204" pitchFamily="34" charset="0"/>
              </a:rPr>
              <a:t>English (Latest year)</a:t>
            </a:r>
          </a:p>
        </c:rich>
      </c:tx>
      <c:layout>
        <c:manualLayout>
          <c:xMode val="edge"/>
          <c:yMode val="edge"/>
          <c:x val="0.47392113284226567"/>
          <c:y val="2.5147926833720746E-2"/>
        </c:manualLayout>
      </c:layout>
      <c:overlay val="0"/>
      <c:spPr>
        <a:noFill/>
        <a:ln>
          <a:noFill/>
        </a:ln>
      </c:spPr>
    </c:title>
    <c:autoTitleDeleted val="0"/>
    <c:plotArea>
      <c:layout>
        <c:manualLayout>
          <c:layoutTarget val="inner"/>
          <c:xMode val="edge"/>
          <c:yMode val="edge"/>
          <c:x val="0.25926953687240706"/>
          <c:y val="8.2531191480721064E-2"/>
          <c:w val="0.69366734400135466"/>
          <c:h val="0.80932976679350488"/>
        </c:manualLayout>
      </c:layout>
      <c:barChart>
        <c:barDir val="bar"/>
        <c:grouping val="clustered"/>
        <c:varyColors val="0"/>
        <c:ser>
          <c:idx val="0"/>
          <c:order val="0"/>
          <c:tx>
            <c:strRef>
              <c:f>spec!$B$25:$B$26</c:f>
              <c:strCache>
                <c:ptCount val="2"/>
                <c:pt idx="0">
                  <c:v>TJ</c:v>
                </c:pt>
                <c:pt idx="1">
                  <c:v>English</c:v>
                </c:pt>
              </c:strCache>
            </c:strRef>
          </c:tx>
          <c:spPr>
            <a:solidFill>
              <a:schemeClr val="accent4"/>
            </a:solidFill>
            <a:ln>
              <a:noFill/>
            </a:ln>
          </c:spPr>
          <c:invertIfNegative val="0"/>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spec!$B$27:$B$44</c:f>
              <c:numCache>
                <c:formatCode>0.0%</c:formatCode>
                <c:ptCount val="18"/>
                <c:pt idx="0">
                  <c:v>0.218</c:v>
                </c:pt>
                <c:pt idx="1">
                  <c:v>0.46600000000000003</c:v>
                </c:pt>
                <c:pt idx="2">
                  <c:v>0.13</c:v>
                </c:pt>
                <c:pt idx="3">
                  <c:v>9.8000000000000004E-2</c:v>
                </c:pt>
                <c:pt idx="4">
                  <c:v>2.5999999999999999E-2</c:v>
                </c:pt>
                <c:pt idx="5">
                  <c:v>5.1999999999999998E-2</c:v>
                </c:pt>
                <c:pt idx="6">
                  <c:v>0.01</c:v>
                </c:pt>
                <c:pt idx="7">
                  <c:v>0</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0C76-43E2-9DCE-A06AF3F1E8B3}"/>
            </c:ext>
          </c:extLst>
        </c:ser>
        <c:dLbls>
          <c:showLegendKey val="0"/>
          <c:showVal val="0"/>
          <c:showCatName val="0"/>
          <c:showSerName val="0"/>
          <c:showPercent val="0"/>
          <c:showBubbleSize val="0"/>
        </c:dLbls>
        <c:gapWidth val="5"/>
        <c:overlap val="100"/>
        <c:axId val="34861519"/>
        <c:axId val="1615755471"/>
      </c:barChart>
      <c:catAx>
        <c:axId val="34861519"/>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Achievement Level</a:t>
                </a:r>
              </a:p>
            </c:rich>
          </c:tx>
          <c:overlay val="0"/>
          <c:spPr>
            <a:noFill/>
            <a:ln>
              <a:noFill/>
            </a:ln>
          </c:sp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615755471"/>
        <c:crosses val="autoZero"/>
        <c:auto val="1"/>
        <c:lblAlgn val="ctr"/>
        <c:lblOffset val="100"/>
        <c:noMultiLvlLbl val="0"/>
      </c:catAx>
      <c:valAx>
        <c:axId val="1615755471"/>
        <c:scaling>
          <c:orientation val="minMax"/>
          <c:max val="1"/>
          <c:min val="0"/>
        </c:scaling>
        <c:delete val="0"/>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results</a:t>
                </a:r>
              </a:p>
            </c:rich>
          </c:tx>
          <c:layout>
            <c:manualLayout>
              <c:xMode val="edge"/>
              <c:yMode val="edge"/>
              <c:x val="0.50129349758699515"/>
              <c:y val="0.95093234674877403"/>
            </c:manualLayout>
          </c:layout>
          <c:overlay val="0"/>
          <c:spPr>
            <a:noFill/>
            <a:ln>
              <a:noFill/>
            </a:ln>
          </c:sp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showDLblsOverMax val="0"/>
  </c:chart>
  <c:spPr>
    <a:no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US" sz="900" b="1" i="0" baseline="0">
                <a:latin typeface="Arial" panose="020B0604020202020204" pitchFamily="34" charset="0"/>
              </a:rPr>
              <a:t>Mathematics (Latest year)</a:t>
            </a:r>
          </a:p>
        </c:rich>
      </c:tx>
      <c:layout>
        <c:manualLayout>
          <c:xMode val="edge"/>
          <c:yMode val="edge"/>
          <c:x val="0.42545691163604543"/>
          <c:y val="3.8145204290408581E-2"/>
        </c:manualLayout>
      </c:layout>
      <c:overlay val="0"/>
      <c:spPr>
        <a:noFill/>
        <a:ln>
          <a:noFill/>
        </a:ln>
      </c:spPr>
    </c:title>
    <c:autoTitleDeleted val="0"/>
    <c:plotArea>
      <c:layout>
        <c:manualLayout>
          <c:layoutTarget val="inner"/>
          <c:xMode val="edge"/>
          <c:yMode val="edge"/>
          <c:x val="0.23325790158583118"/>
          <c:y val="9.4510261020522041E-2"/>
          <c:w val="0.7125546806649169"/>
          <c:h val="0.80327876996448"/>
        </c:manualLayout>
      </c:layout>
      <c:barChart>
        <c:barDir val="bar"/>
        <c:grouping val="clustered"/>
        <c:varyColors val="0"/>
        <c:ser>
          <c:idx val="0"/>
          <c:order val="0"/>
          <c:tx>
            <c:strRef>
              <c:f>spec!$D$25:$D$26</c:f>
              <c:strCache>
                <c:ptCount val="2"/>
                <c:pt idx="0">
                  <c:v>TJ</c:v>
                </c:pt>
                <c:pt idx="1">
                  <c:v>Maths</c:v>
                </c:pt>
              </c:strCache>
            </c:strRef>
          </c:tx>
          <c:spPr>
            <a:solidFill>
              <a:schemeClr val="accent4"/>
            </a:solidFill>
            <a:ln>
              <a:noFill/>
            </a:ln>
          </c:spPr>
          <c:invertIfNegative val="0"/>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spec!$C$27:$C$44</c:f>
              <c:numCache>
                <c:formatCode>0.0%</c:formatCode>
                <c:ptCount val="18"/>
                <c:pt idx="0">
                  <c:v>0.32300000000000001</c:v>
                </c:pt>
                <c:pt idx="1">
                  <c:v>0.36899999999999999</c:v>
                </c:pt>
                <c:pt idx="2">
                  <c:v>0.159</c:v>
                </c:pt>
                <c:pt idx="3">
                  <c:v>7.1999999999999995E-2</c:v>
                </c:pt>
                <c:pt idx="4">
                  <c:v>1.4999999999999999E-2</c:v>
                </c:pt>
                <c:pt idx="5">
                  <c:v>4.5999999999999999E-2</c:v>
                </c:pt>
                <c:pt idx="6">
                  <c:v>1.4999999999999999E-2</c:v>
                </c:pt>
                <c:pt idx="7">
                  <c:v>0</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812B-480A-A936-AFB047C7D396}"/>
            </c:ext>
          </c:extLst>
        </c:ser>
        <c:dLbls>
          <c:showLegendKey val="0"/>
          <c:showVal val="0"/>
          <c:showCatName val="0"/>
          <c:showSerName val="0"/>
          <c:showPercent val="0"/>
          <c:showBubbleSize val="0"/>
        </c:dLbls>
        <c:gapWidth val="5"/>
        <c:overlap val="100"/>
        <c:axId val="34861519"/>
        <c:axId val="1615755471"/>
      </c:barChart>
      <c:catAx>
        <c:axId val="34861519"/>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Achievement Level</a:t>
                </a:r>
              </a:p>
            </c:rich>
          </c:tx>
          <c:overlay val="0"/>
          <c:spPr>
            <a:noFill/>
            <a:ln>
              <a:noFill/>
            </a:ln>
          </c:sp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615755471"/>
        <c:crosses val="autoZero"/>
        <c:auto val="1"/>
        <c:lblAlgn val="ctr"/>
        <c:lblOffset val="100"/>
        <c:noMultiLvlLbl val="0"/>
      </c:catAx>
      <c:valAx>
        <c:axId val="1615755471"/>
        <c:scaling>
          <c:orientation val="minMax"/>
          <c:max val="1"/>
          <c:min val="0"/>
        </c:scaling>
        <c:delete val="0"/>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results</a:t>
                </a:r>
              </a:p>
            </c:rich>
          </c:tx>
          <c:layout>
            <c:manualLayout>
              <c:xMode val="edge"/>
              <c:yMode val="edge"/>
              <c:x val="0.50170069715497601"/>
              <c:y val="0.95347551907402495"/>
            </c:manualLayout>
          </c:layout>
          <c:overlay val="0"/>
          <c:spPr>
            <a:noFill/>
            <a:ln>
              <a:noFill/>
            </a:ln>
          </c:sp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Allan Waterson</cp:lastModifiedBy>
  <cp:revision>2</cp:revision>
  <dcterms:created xsi:type="dcterms:W3CDTF">2024-08-21T03:18:00Z</dcterms:created>
  <dcterms:modified xsi:type="dcterms:W3CDTF">2024-08-21T03:18:00Z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